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Tursi James Patrick</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MetaVia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METAVIA INC.</w:t>
            </w:r>
          </w:p>
        </w:tc>
        <w:tc>
          <w:tcPr>
            <w:tcW w:w="15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545 CONCORD AVENUE,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02138</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17,186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20,568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issued to the Reporting Person under the Issuer's Amended and Restated 2022 Equity Incentive Plan, which vests on the earlier of June 8, 2027 or the day immediately prior to the Issuer's 2027 Annual Meeting of Stockholders, subject to the Reporting Person's continuing service on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securities beneficially owned has been adjusted to reflect the Issuer's completion of a 1-for-11 reverse stock split on December 4, 2025.</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Phillip Torrence, by Power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7710" TargetMode="External"/><Relationship Id="rId14" Type="http://schemas.openxmlformats.org/officeDocument/2006/relationships/hyperlink" Target="http://www.sec.gov/cgi-bin/browse-edgar?action=getcompany&amp;CIK=0001638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2026-06-08T17:34:47Z</dcterms:created>
  <dcterms:modified xsi:type="dcterms:W3CDTF">2026-06-08T17:34:47Z</dcterms:modified>
</cp:coreProperties>
</file>