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38100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139065</wp:posOffset>
            </wp:positionV>
            <wp:extent cx="1790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w:t>
      </w:r>
      <w:r>
        <w:rPr>
          <w:rFonts w:ascii="Times New Roman" w:cs="Times New Roman" w:eastAsia="Times New Roman" w:hAnsi="Times New Roman"/>
          <w:sz w:val="29"/>
          <w:szCs w:val="29"/>
          <w:b w:val="1"/>
          <w:bCs w:val="1"/>
          <w:color w:val="auto"/>
        </w:rPr>
        <w:t>eta</w:t>
      </w:r>
      <w:r>
        <w:rPr>
          <w:rFonts w:ascii="Times New Roman" w:cs="Times New Roman" w:eastAsia="Times New Roman" w:hAnsi="Times New Roman"/>
          <w:sz w:val="43"/>
          <w:szCs w:val="43"/>
          <w:b w:val="1"/>
          <w:bCs w:val="1"/>
          <w:color w:val="auto"/>
        </w:rPr>
        <w:t>V</w:t>
      </w:r>
      <w:r>
        <w:rPr>
          <w:rFonts w:ascii="Times New Roman" w:cs="Times New Roman" w:eastAsia="Times New Roman" w:hAnsi="Times New Roman"/>
          <w:sz w:val="29"/>
          <w:szCs w:val="29"/>
          <w:b w:val="1"/>
          <w:bCs w:val="1"/>
          <w:color w:val="auto"/>
        </w:rPr>
        <w:t>ia</w:t>
      </w:r>
      <w:r>
        <w:rPr>
          <w:rFonts w:ascii="Times New Roman" w:cs="Times New Roman" w:eastAsia="Times New Roman" w:hAnsi="Times New Roman"/>
          <w:sz w:val="43"/>
          <w:szCs w:val="43"/>
          <w:b w:val="1"/>
          <w:bCs w:val="1"/>
          <w:color w:val="auto"/>
        </w:rPr>
        <w:t xml:space="preserve"> I</w:t>
      </w:r>
      <w:r>
        <w:rPr>
          <w:rFonts w:ascii="Times New Roman" w:cs="Times New Roman" w:eastAsia="Times New Roman" w:hAnsi="Times New Roman"/>
          <w:sz w:val="32"/>
          <w:szCs w:val="32"/>
          <w:b w:val="1"/>
          <w:bCs w:val="1"/>
          <w:color w:val="auto"/>
        </w:rPr>
        <w:t>NC</w:t>
      </w:r>
      <w:r>
        <w:rPr>
          <w:rFonts w:ascii="Times New Roman" w:cs="Times New Roman" w:eastAsia="Times New Roman" w:hAnsi="Times New Roman"/>
          <w:sz w:val="43"/>
          <w:szCs w:val="43"/>
          <w:b w:val="1"/>
          <w:bCs w:val="1"/>
          <w:color w:val="auto"/>
        </w:rPr>
        <w:t>.</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640" w:type="dxa"/>
        <w:tblCellMar>
          <w:top w:w="0" w:type="dxa"/>
          <w:left w:w="0" w:type="dxa"/>
          <w:bottom w:w="0" w:type="dxa"/>
          <w:right w:w="0" w:type="dxa"/>
        </w:tblCellMar>
      </w:tblPr>
      <w:tr>
        <w:trPr>
          <w:trHeight w:val="218"/>
        </w:trPr>
        <w:tc>
          <w:tcPr>
            <w:tcW w:w="5360" w:type="dxa"/>
            <w:vAlign w:val="bottom"/>
          </w:tcPr>
          <w:p>
            <w:pPr>
              <w:jc w:val="center"/>
              <w:ind w:right="103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80" w:type="dxa"/>
            <w:vAlign w:val="bottom"/>
          </w:tcPr>
          <w:p>
            <w:pPr>
              <w:jc w:val="right"/>
              <w:ind w:right="871"/>
              <w:spacing w:after="0"/>
              <w:rPr>
                <w:sz w:val="20"/>
                <w:szCs w:val="20"/>
                <w:color w:val="auto"/>
              </w:rPr>
            </w:pPr>
            <w:r>
              <w:rPr>
                <w:rFonts w:ascii="Times New Roman" w:cs="Times New Roman" w:eastAsia="Times New Roman" w:hAnsi="Times New Roman"/>
                <w:sz w:val="18"/>
                <w:szCs w:val="18"/>
                <w:b w:val="1"/>
                <w:bCs w:val="1"/>
                <w:color w:val="auto"/>
              </w:rPr>
              <w:t>47-2389984</w:t>
            </w:r>
          </w:p>
        </w:tc>
      </w:tr>
      <w:tr>
        <w:trPr>
          <w:trHeight w:val="233"/>
        </w:trPr>
        <w:tc>
          <w:tcPr>
            <w:tcW w:w="5360" w:type="dxa"/>
            <w:vAlign w:val="bottom"/>
          </w:tcPr>
          <w:p>
            <w:pPr>
              <w:jc w:val="center"/>
              <w:ind w:right="1011"/>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38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05"/>
        </w:trPr>
        <w:tc>
          <w:tcPr>
            <w:tcW w:w="5360" w:type="dxa"/>
            <w:vAlign w:val="bottom"/>
          </w:tcPr>
          <w:p>
            <w:pPr>
              <w:jc w:val="center"/>
              <w:ind w:right="1031"/>
              <w:spacing w:after="0"/>
              <w:rPr>
                <w:sz w:val="20"/>
                <w:szCs w:val="20"/>
                <w:color w:val="auto"/>
              </w:rPr>
            </w:pPr>
            <w:r>
              <w:rPr>
                <w:rFonts w:ascii="Times New Roman" w:cs="Times New Roman" w:eastAsia="Times New Roman" w:hAnsi="Times New Roman"/>
                <w:sz w:val="18"/>
                <w:szCs w:val="18"/>
                <w:b w:val="1"/>
                <w:bCs w:val="1"/>
                <w:color w:val="auto"/>
                <w:w w:val="98"/>
              </w:rPr>
              <w:t>545 Concord Avenue, Suite 210</w:t>
            </w:r>
          </w:p>
        </w:tc>
        <w:tc>
          <w:tcPr>
            <w:tcW w:w="3880" w:type="dxa"/>
            <w:vAlign w:val="bottom"/>
          </w:tcPr>
          <w:p>
            <w:pPr>
              <w:spacing w:after="0"/>
              <w:rPr>
                <w:sz w:val="24"/>
                <w:szCs w:val="24"/>
                <w:color w:val="auto"/>
              </w:rPr>
            </w:pPr>
          </w:p>
        </w:tc>
      </w:tr>
      <w:tr>
        <w:trPr>
          <w:trHeight w:val="218"/>
        </w:trPr>
        <w:tc>
          <w:tcPr>
            <w:tcW w:w="5360" w:type="dxa"/>
            <w:vAlign w:val="bottom"/>
          </w:tcPr>
          <w:p>
            <w:pPr>
              <w:jc w:val="center"/>
              <w:ind w:right="1031"/>
              <w:spacing w:after="0"/>
              <w:rPr>
                <w:sz w:val="20"/>
                <w:szCs w:val="20"/>
                <w:color w:val="auto"/>
              </w:rPr>
            </w:pPr>
            <w:r>
              <w:rPr>
                <w:rFonts w:ascii="Times New Roman" w:cs="Times New Roman" w:eastAsia="Times New Roman" w:hAnsi="Times New Roman"/>
                <w:sz w:val="18"/>
                <w:szCs w:val="18"/>
                <w:b w:val="1"/>
                <w:bCs w:val="1"/>
                <w:color w:val="auto"/>
                <w:w w:val="98"/>
              </w:rPr>
              <w:t>Cambridge, MA</w:t>
            </w:r>
          </w:p>
        </w:tc>
        <w:tc>
          <w:tcPr>
            <w:tcW w:w="3880" w:type="dxa"/>
            <w:vAlign w:val="bottom"/>
          </w:tcPr>
          <w:p>
            <w:pPr>
              <w:jc w:val="right"/>
              <w:ind w:right="1071"/>
              <w:spacing w:after="0"/>
              <w:rPr>
                <w:sz w:val="20"/>
                <w:szCs w:val="20"/>
                <w:color w:val="auto"/>
              </w:rPr>
            </w:pPr>
            <w:r>
              <w:rPr>
                <w:rFonts w:ascii="Times New Roman" w:cs="Times New Roman" w:eastAsia="Times New Roman" w:hAnsi="Times New Roman"/>
                <w:sz w:val="18"/>
                <w:szCs w:val="18"/>
                <w:b w:val="1"/>
                <w:bCs w:val="1"/>
                <w:color w:val="auto"/>
              </w:rPr>
              <w:t>02138</w:t>
            </w:r>
          </w:p>
        </w:tc>
      </w:tr>
      <w:tr>
        <w:trPr>
          <w:trHeight w:val="233"/>
        </w:trPr>
        <w:tc>
          <w:tcPr>
            <w:tcW w:w="5360" w:type="dxa"/>
            <w:vAlign w:val="bottom"/>
          </w:tcPr>
          <w:p>
            <w:pPr>
              <w:jc w:val="center"/>
              <w:ind w:right="101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38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7"/>
              </w:rPr>
              <w:t>(Zip code)</w:t>
            </w:r>
          </w:p>
        </w:tc>
      </w:tr>
    </w:tbl>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 Amended and Restated 2022 Equity Incentive Plan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Hyung Heon Kim</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545 Concord Avenue, Suite 210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Cambridge, MA 02138</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857-702-9600</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Phillip D. Torrence, Esq.</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Joshua W. Damm, Esq.</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Honigman LLP</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Trade Centre Way, Suite 200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Kalamazoo, Michigan 49002</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(269) 337-7700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Fax: (269) 337-7703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139700</wp:posOffset>
            </wp:positionV>
            <wp:extent cx="1790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7"/>
        </w:trPr>
        <w:tc>
          <w:tcPr>
            <w:tcW w:w="3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3"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584200</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SHARES PURSUANT TO GENERAL INSTRUCTION E</w:t>
      </w:r>
    </w:p>
    <w:p>
      <w:pPr>
        <w:spacing w:after="0" w:line="220" w:lineRule="exact"/>
        <w:rPr>
          <w:sz w:val="20"/>
          <w:szCs w:val="20"/>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is being filed by MetaVia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for the purpose of registering an additional 200,000 shares of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issuable under the MetaVia Inc. Amended and Restated 2022 Equity Incentive Plan, as amended (the “</w:t>
      </w:r>
      <w:r>
        <w:rPr>
          <w:rFonts w:ascii="Times New Roman" w:cs="Times New Roman" w:eastAsia="Times New Roman" w:hAnsi="Times New Roman"/>
          <w:sz w:val="18"/>
          <w:szCs w:val="18"/>
          <w:b w:val="1"/>
          <w:bCs w:val="1"/>
          <w:i w:val="1"/>
          <w:iCs w:val="1"/>
          <w:color w:val="auto"/>
        </w:rPr>
        <w:t>2022 Incentive Plan</w:t>
      </w:r>
      <w:r>
        <w:rPr>
          <w:rFonts w:ascii="Times New Roman" w:cs="Times New Roman" w:eastAsia="Times New Roman" w:hAnsi="Times New Roman"/>
          <w:sz w:val="18"/>
          <w:szCs w:val="18"/>
          <w:color w:val="auto"/>
        </w:rPr>
        <w:t xml:space="preserve">”). These additional shares of Common Stock were reserved for issuance in connection with the amendment to the 2022 Incentive Plan, which was approved by stockholders on June 8, 2026 at the Company’s 2026 Annual Meeting of Stockholders. This Registration Statement hereby incorporates by reference the contents of the Registrant’s previous registration statements on Form S-8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on </w:t>
      </w:r>
      <w:hyperlink r:id="rId18">
        <w:r>
          <w:rPr>
            <w:rFonts w:ascii="Times New Roman" w:cs="Times New Roman" w:eastAsia="Times New Roman" w:hAnsi="Times New Roman"/>
            <w:sz w:val="18"/>
            <w:szCs w:val="18"/>
            <w:u w:val="single" w:color="auto"/>
            <w:color w:val="0000FF"/>
          </w:rPr>
          <w:t>April 17,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(Registration No. 333-271292), </w:t>
      </w:r>
      <w:hyperlink r:id="rId19">
        <w:r>
          <w:rPr>
            <w:rFonts w:ascii="Times New Roman" w:cs="Times New Roman" w:eastAsia="Times New Roman" w:hAnsi="Times New Roman"/>
            <w:sz w:val="18"/>
            <w:szCs w:val="18"/>
            <w:u w:val="single" w:color="auto"/>
            <w:color w:val="0000FF"/>
          </w:rPr>
          <w:t>March 27, 2025</w:t>
        </w:r>
      </w:hyperlink>
      <w:r>
        <w:rPr>
          <w:rFonts w:ascii="Times New Roman" w:cs="Times New Roman" w:eastAsia="Times New Roman" w:hAnsi="Times New Roman"/>
          <w:sz w:val="18"/>
          <w:szCs w:val="18"/>
          <w:color w:val="auto"/>
        </w:rPr>
        <w:t xml:space="preserve"> (Registration No. 333-286184) and </w:t>
      </w:r>
      <w:hyperlink r:id="rId20">
        <w:r>
          <w:rPr>
            <w:rFonts w:ascii="Times New Roman" w:cs="Times New Roman" w:eastAsia="Times New Roman" w:hAnsi="Times New Roman"/>
            <w:sz w:val="18"/>
            <w:szCs w:val="18"/>
            <w:u w:val="single" w:color="auto"/>
            <w:color w:val="0000FF"/>
          </w:rPr>
          <w:t>April 3,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No. 333-294877) to the extent not superseded hereby.</w:t>
      </w:r>
    </w:p>
    <w:p>
      <w:pPr>
        <w:spacing w:after="0" w:line="18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information called for by Part I of Form S-8 is omitted from this Registration Statement in accordance with Rule 428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the instructions to Form S-8. In accordance with the rules and regulations of the Commission and the instructions to Form S-8, such documents are not being filed with the Commission either as part of this Registration Statement or as prospectuses or prospectus supplements pursuant to Rule 424 of the Securities Act. The documents containing the information specified in Part I of Form S-8 will be delivered to the participants in the equity benefit plan covered by this Registration Statement as specified by Rule 428(b)(1) under the Securities Act.</w:t>
      </w:r>
    </w:p>
    <w:p>
      <w:pPr>
        <w:spacing w:after="0" w:line="17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rFonts w:ascii="Times New Roman" w:cs="Times New Roman" w:eastAsia="Times New Roman" w:hAnsi="Times New Roman"/>
          <w:sz w:val="18"/>
          <w:szCs w:val="18"/>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following documents filed by the Registrant with the Commission pursuant to the Securities Act and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are incorporated herein by reference (other than information in such filings that was “furnished” under the applicable Commission rules rather than “filed”):</w:t>
      </w:r>
    </w:p>
    <w:p>
      <w:pPr>
        <w:spacing w:after="0" w:line="177" w:lineRule="exact"/>
        <w:rPr>
          <w:rFonts w:ascii="Times New Roman" w:cs="Times New Roman" w:eastAsia="Times New Roman" w:hAnsi="Times New Roman"/>
          <w:sz w:val="18"/>
          <w:szCs w:val="18"/>
          <w:color w:val="auto"/>
        </w:rPr>
      </w:pPr>
    </w:p>
    <w:p>
      <w:pPr>
        <w:ind w:left="1280" w:hanging="632"/>
        <w:spacing w:after="0" w:line="277"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w:t>
      </w:r>
      <w:r>
        <w:rPr>
          <w:rFonts w:ascii="Times New Roman" w:cs="Times New Roman" w:eastAsia="Times New Roman" w:hAnsi="Times New Roman"/>
          <w:sz w:val="18"/>
          <w:szCs w:val="18"/>
          <w:color w:val="231F20"/>
        </w:rPr>
        <w:t>for the fiscal year ended December 31, 2025, filed with the</w:t>
      </w:r>
      <w:r>
        <w:rPr>
          <w:rFonts w:ascii="Times New Roman" w:cs="Times New Roman" w:eastAsia="Times New Roman" w:hAnsi="Times New Roman"/>
          <w:sz w:val="18"/>
          <w:szCs w:val="18"/>
          <w:color w:val="auto"/>
        </w:rPr>
        <w:t xml:space="preserve"> Commission </w:t>
      </w:r>
      <w:r>
        <w:rPr>
          <w:rFonts w:ascii="Times New Roman" w:cs="Times New Roman" w:eastAsia="Times New Roman" w:hAnsi="Times New Roman"/>
          <w:sz w:val="18"/>
          <w:szCs w:val="18"/>
          <w:color w:val="231F20"/>
        </w:rPr>
        <w:t>on</w:t>
      </w:r>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FF"/>
          </w:rPr>
          <w:t>March 26, 2026</w:t>
        </w:r>
      </w:hyperlink>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b w:val="1"/>
          <w:bCs w:val="1"/>
          <w:i w:val="1"/>
          <w:iCs w:val="1"/>
          <w:color w:val="231F20"/>
        </w:rPr>
        <w:t>“Annual Report”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w:t>
      </w:r>
    </w:p>
    <w:p>
      <w:pPr>
        <w:spacing w:after="0" w:line="163" w:lineRule="exact"/>
        <w:rPr>
          <w:rFonts w:ascii="Times New Roman" w:cs="Times New Roman" w:eastAsia="Times New Roman" w:hAnsi="Times New Roman"/>
          <w:sz w:val="18"/>
          <w:szCs w:val="18"/>
          <w:color w:val="auto"/>
        </w:rPr>
      </w:pPr>
    </w:p>
    <w:p>
      <w:pPr>
        <w:ind w:left="1280" w:hanging="632"/>
        <w:spacing w:after="0" w:line="277"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all other reports filed pursuant to Section 13(a) or 15(d) of the Exchange Act since the end of the fiscal year covered by the Registrant’s Annual Report referred to in (a) above; and</w:t>
      </w:r>
    </w:p>
    <w:p>
      <w:pPr>
        <w:spacing w:after="0" w:line="163" w:lineRule="exact"/>
        <w:rPr>
          <w:rFonts w:ascii="Times New Roman" w:cs="Times New Roman" w:eastAsia="Times New Roman" w:hAnsi="Times New Roman"/>
          <w:sz w:val="18"/>
          <w:szCs w:val="18"/>
          <w:color w:val="auto"/>
        </w:rPr>
      </w:pPr>
    </w:p>
    <w:p>
      <w:pPr>
        <w:jc w:val="both"/>
        <w:ind w:left="1280" w:hanging="632"/>
        <w:spacing w:after="0" w:line="262" w:lineRule="auto"/>
        <w:tabs>
          <w:tab w:leader="none" w:pos="12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description of the Registrant’s Common Stock which is contained in the Registration Statement on </w:t>
      </w:r>
      <w:r>
        <w:rPr>
          <w:rFonts w:ascii="Times New Roman" w:cs="Times New Roman" w:eastAsia="Times New Roman" w:hAnsi="Times New Roman"/>
          <w:sz w:val="18"/>
          <w:szCs w:val="18"/>
          <w:color w:val="000000"/>
        </w:rPr>
        <w:t>Form 8-A</w:t>
      </w:r>
      <w:r>
        <w:rPr>
          <w:rFonts w:ascii="Times New Roman" w:cs="Times New Roman" w:eastAsia="Times New Roman" w:hAnsi="Times New Roman"/>
          <w:sz w:val="18"/>
          <w:szCs w:val="18"/>
          <w:color w:val="231F20"/>
        </w:rPr>
        <w:t xml:space="preserve"> filed with the Commission on </w:t>
      </w:r>
      <w:hyperlink r:id="rId22">
        <w:r>
          <w:rPr>
            <w:rFonts w:ascii="Times New Roman" w:cs="Times New Roman" w:eastAsia="Times New Roman" w:hAnsi="Times New Roman"/>
            <w:sz w:val="18"/>
            <w:szCs w:val="18"/>
            <w:u w:val="single" w:color="auto"/>
            <w:color w:val="0000FF"/>
          </w:rPr>
          <w:t>June 20, 2016</w:t>
        </w:r>
        <w:r>
          <w:rPr>
            <w:rFonts w:ascii="Times New Roman" w:cs="Times New Roman" w:eastAsia="Times New Roman" w:hAnsi="Times New Roman"/>
            <w:sz w:val="18"/>
            <w:szCs w:val="18"/>
            <w:u w:val="single" w:color="auto"/>
            <w:color w:val="231F20"/>
          </w:rPr>
          <w:t xml:space="preserve"> </w:t>
        </w:r>
      </w:hyperlink>
      <w:r>
        <w:rPr>
          <w:rFonts w:ascii="Times New Roman" w:cs="Times New Roman" w:eastAsia="Times New Roman" w:hAnsi="Times New Roman"/>
          <w:sz w:val="18"/>
          <w:szCs w:val="18"/>
          <w:color w:val="231F20"/>
        </w:rPr>
        <w:t>(File No. 001-37809) under Section 12(b) of the Exchange Act, including any amendment or report filed for the purpose of updating such description.</w:t>
      </w:r>
    </w:p>
    <w:p>
      <w:pPr>
        <w:spacing w:after="0" w:line="177"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or 15(d) of the Exchange Act, prior to the filing of a post-effective amendment to the Registration Statement which indicates that all securities offered hereby have been sold or which deregisters all securities then remaining unsold, shall be deemed to be incorporated by reference into this Registration Statement and to be a part hereof from the date of the filing of such documents, except that information furnished to the Commission under Item 2.02 or Item 7.01 in Current Reports on Form 8-K and any exhibit relating to such information, shall not be deemed to be incorporated by reference in this Registration Statement.</w:t>
      </w:r>
    </w:p>
    <w:p>
      <w:pPr>
        <w:spacing w:after="0" w:line="183"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which also is or is deemed to be incorporated by reference in this Registration Statement, modifies or supersedes such earlier statement. Any statement so modified or superseded shall not be deemed, except as so modified or superseded, to constitute a part of this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27"/>
        </w:trPr>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16"/>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27"/>
        </w:trPr>
        <w:tc>
          <w:tcPr>
            <w:tcW w:w="73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Registration Statement.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27"/>
        </w:trPr>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16"/>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27"/>
        </w:trPr>
        <w:tc>
          <w:tcPr>
            <w:tcW w:w="640" w:type="dxa"/>
            <w:vAlign w:val="bottom"/>
          </w:tcPr>
          <w:p>
            <w:pPr>
              <w:spacing w:after="0"/>
              <w:rPr>
                <w:sz w:val="24"/>
                <w:szCs w:val="24"/>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231F20"/>
              </w:rPr>
              <w:t>Incorporated by Reference</w:t>
            </w:r>
          </w:p>
        </w:tc>
      </w:tr>
      <w:tr>
        <w:trPr>
          <w:trHeight w:val="207"/>
        </w:trPr>
        <w:tc>
          <w:tcPr>
            <w:tcW w:w="64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18"/>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67"/>
        </w:trPr>
        <w:tc>
          <w:tcPr>
            <w:tcW w:w="640" w:type="dxa"/>
            <w:vAlign w:val="bottom"/>
          </w:tcPr>
          <w:p>
            <w:pPr>
              <w:spacing w:after="0"/>
              <w:rPr>
                <w:sz w:val="14"/>
                <w:szCs w:val="14"/>
                <w:color w:val="auto"/>
              </w:rPr>
            </w:pPr>
          </w:p>
        </w:tc>
        <w:tc>
          <w:tcPr>
            <w:tcW w:w="1080" w:type="dxa"/>
            <w:vAlign w:val="bottom"/>
            <w:tcBorders>
              <w:top w:val="single" w:sz="8" w:color="231F20"/>
            </w:tcBorders>
          </w:tcPr>
          <w:p>
            <w:pPr>
              <w:jc w:val="center"/>
              <w:spacing w:after="0" w:line="167"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20" w:type="dxa"/>
            <w:vAlign w:val="bottom"/>
            <w:tcBorders>
              <w:top w:val="single" w:sz="8" w:color="231F20"/>
            </w:tcBorders>
          </w:tcPr>
          <w:p>
            <w:pPr>
              <w:spacing w:after="0"/>
              <w:rPr>
                <w:sz w:val="14"/>
                <w:szCs w:val="14"/>
                <w:color w:val="auto"/>
              </w:rPr>
            </w:pPr>
          </w:p>
        </w:tc>
        <w:tc>
          <w:tcPr>
            <w:tcW w:w="5320" w:type="dxa"/>
            <w:vAlign w:val="bottom"/>
            <w:tcBorders>
              <w:top w:val="single" w:sz="8" w:color="231F20"/>
              <w:bottom w:val="single" w:sz="8" w:color="0000EE"/>
            </w:tcBorders>
            <w:gridSpan w:val="28"/>
          </w:tcPr>
          <w:p>
            <w:pPr>
              <w:jc w:val="center"/>
              <w:spacing w:after="0" w:line="167" w:lineRule="exact"/>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Third Amended and Restated Certificate of Incorporation of the Registrant</w:t>
              </w:r>
            </w:hyperlink>
          </w:p>
        </w:tc>
        <w:tc>
          <w:tcPr>
            <w:tcW w:w="40" w:type="dxa"/>
            <w:vAlign w:val="bottom"/>
            <w:tcBorders>
              <w:top w:val="single" w:sz="8" w:color="231F20"/>
            </w:tcBorders>
            <w:gridSpan w:val="2"/>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231F20"/>
            </w:tcBorders>
          </w:tcPr>
          <w:p>
            <w:pPr>
              <w:jc w:val="center"/>
              <w:spacing w:after="0" w:line="167"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4"/>
                <w:szCs w:val="14"/>
                <w:color w:val="auto"/>
              </w:rPr>
            </w:pPr>
          </w:p>
        </w:tc>
        <w:tc>
          <w:tcPr>
            <w:tcW w:w="1080" w:type="dxa"/>
            <w:vAlign w:val="bottom"/>
            <w:tcBorders>
              <w:top w:val="single" w:sz="8" w:color="231F20"/>
            </w:tcBorders>
          </w:tcPr>
          <w:p>
            <w:pPr>
              <w:jc w:val="center"/>
              <w:spacing w:after="0" w:line="167" w:lineRule="exact"/>
              <w:rPr>
                <w:sz w:val="20"/>
                <w:szCs w:val="20"/>
                <w:color w:val="auto"/>
              </w:rPr>
            </w:pPr>
            <w:r>
              <w:rPr>
                <w:rFonts w:ascii="Times New Roman" w:cs="Times New Roman" w:eastAsia="Times New Roman" w:hAnsi="Times New Roman"/>
                <w:sz w:val="18"/>
                <w:szCs w:val="18"/>
                <w:color w:val="auto"/>
                <w:w w:val="97"/>
              </w:rPr>
              <w:t>001-37809</w:t>
            </w:r>
          </w:p>
        </w:tc>
        <w:tc>
          <w:tcPr>
            <w:tcW w:w="80" w:type="dxa"/>
            <w:vAlign w:val="bottom"/>
          </w:tcPr>
          <w:p>
            <w:pPr>
              <w:spacing w:after="0"/>
              <w:rPr>
                <w:sz w:val="14"/>
                <w:szCs w:val="14"/>
                <w:color w:val="auto"/>
              </w:rPr>
            </w:pPr>
          </w:p>
        </w:tc>
        <w:tc>
          <w:tcPr>
            <w:tcW w:w="640" w:type="dxa"/>
            <w:vAlign w:val="bottom"/>
            <w:tcBorders>
              <w:top w:val="single" w:sz="8" w:color="231F20"/>
            </w:tcBorders>
          </w:tcPr>
          <w:p>
            <w:pPr>
              <w:jc w:val="center"/>
              <w:spacing w:after="0" w:line="167"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4"/>
                <w:szCs w:val="14"/>
                <w:color w:val="auto"/>
              </w:rPr>
            </w:pPr>
          </w:p>
        </w:tc>
        <w:tc>
          <w:tcPr>
            <w:tcW w:w="1260" w:type="dxa"/>
            <w:vAlign w:val="bottom"/>
            <w:tcBorders>
              <w:top w:val="single" w:sz="8" w:color="231F20"/>
            </w:tcBorders>
          </w:tcPr>
          <w:p>
            <w:pPr>
              <w:jc w:val="center"/>
              <w:spacing w:after="0" w:line="167" w:lineRule="exact"/>
              <w:rPr>
                <w:sz w:val="20"/>
                <w:szCs w:val="20"/>
                <w:color w:val="auto"/>
              </w:rPr>
            </w:pPr>
            <w:r>
              <w:rPr>
                <w:rFonts w:ascii="Times New Roman" w:cs="Times New Roman" w:eastAsia="Times New Roman" w:hAnsi="Times New Roman"/>
                <w:sz w:val="18"/>
                <w:szCs w:val="18"/>
                <w:color w:val="auto"/>
                <w:w w:val="98"/>
              </w:rPr>
              <w:t>8/10/2016</w:t>
            </w:r>
          </w:p>
        </w:tc>
      </w:tr>
      <w:tr>
        <w:trPr>
          <w:trHeight w:val="194"/>
        </w:trPr>
        <w:tc>
          <w:tcPr>
            <w:tcW w:w="1720" w:type="dxa"/>
            <w:vAlign w:val="bottom"/>
            <w:gridSpan w:val="2"/>
          </w:tcPr>
          <w:p>
            <w:pPr>
              <w:jc w:val="center"/>
              <w:ind w:left="571"/>
              <w:spacing w:after="0" w:line="194"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6"/>
                <w:szCs w:val="16"/>
                <w:color w:val="auto"/>
              </w:rPr>
            </w:pPr>
          </w:p>
        </w:tc>
        <w:tc>
          <w:tcPr>
            <w:tcW w:w="5500" w:type="dxa"/>
            <w:vAlign w:val="bottom"/>
            <w:gridSpan w:val="33"/>
          </w:tcPr>
          <w:p>
            <w:pPr>
              <w:jc w:val="center"/>
              <w:ind w:right="100"/>
              <w:spacing w:after="0" w:line="194" w:lineRule="exact"/>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Certificate of Amendment (Reverse Stock Split) to the Third Amended and</w:t>
              </w:r>
            </w:hyperlink>
          </w:p>
        </w:tc>
        <w:tc>
          <w:tcPr>
            <w:tcW w:w="7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001-37809</w:t>
            </w:r>
          </w:p>
        </w:tc>
        <w:tc>
          <w:tcPr>
            <w:tcW w:w="80" w:type="dxa"/>
            <w:vAlign w:val="bottom"/>
          </w:tcPr>
          <w:p>
            <w:pPr>
              <w:spacing w:after="0"/>
              <w:rPr>
                <w:sz w:val="16"/>
                <w:szCs w:val="16"/>
                <w:color w:val="auto"/>
              </w:rPr>
            </w:pPr>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6"/>
                <w:szCs w:val="16"/>
                <w:color w:val="auto"/>
              </w:rPr>
            </w:pPr>
          </w:p>
        </w:tc>
        <w:tc>
          <w:tcPr>
            <w:tcW w:w="12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12/31/2019</w:t>
            </w:r>
          </w:p>
        </w:tc>
      </w:tr>
      <w:tr>
        <w:trPr>
          <w:trHeight w:val="194"/>
        </w:trPr>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840" w:type="dxa"/>
            <w:vAlign w:val="bottom"/>
            <w:tcBorders>
              <w:top w:val="single" w:sz="8" w:color="0000EE"/>
              <w:bottom w:val="single" w:sz="8" w:color="0000EE"/>
            </w:tcBorders>
            <w:gridSpan w:val="13"/>
          </w:tcPr>
          <w:p>
            <w:pPr>
              <w:jc w:val="center"/>
              <w:spacing w:after="0" w:line="194" w:lineRule="exact"/>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Restated Certificate of Incorporation of the Registrant</w:t>
              </w:r>
            </w:hyperlink>
          </w:p>
        </w:tc>
        <w:tc>
          <w:tcPr>
            <w:tcW w:w="760" w:type="dxa"/>
            <w:vAlign w:val="bottom"/>
            <w:tcBorders>
              <w:top w:val="single" w:sz="8" w:color="0000EE"/>
            </w:tcBorders>
            <w:gridSpan w:val="9"/>
          </w:tcPr>
          <w:p>
            <w:pPr>
              <w:spacing w:after="0"/>
              <w:rPr>
                <w:sz w:val="16"/>
                <w:szCs w:val="16"/>
                <w:color w:val="auto"/>
              </w:rPr>
            </w:pPr>
          </w:p>
        </w:tc>
        <w:tc>
          <w:tcPr>
            <w:tcW w:w="120" w:type="dxa"/>
            <w:vAlign w:val="bottom"/>
            <w:gridSpan w:val="2"/>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4"/>
        </w:trPr>
        <w:tc>
          <w:tcPr>
            <w:tcW w:w="1720" w:type="dxa"/>
            <w:vAlign w:val="bottom"/>
            <w:gridSpan w:val="2"/>
          </w:tcPr>
          <w:p>
            <w:pPr>
              <w:jc w:val="center"/>
              <w:ind w:left="571"/>
              <w:spacing w:after="0" w:line="194" w:lineRule="exact"/>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360" w:type="dxa"/>
            <w:vAlign w:val="bottom"/>
            <w:gridSpan w:val="29"/>
          </w:tcPr>
          <w:p>
            <w:pPr>
              <w:jc w:val="center"/>
              <w:ind w:right="240"/>
              <w:spacing w:after="0" w:line="194"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Certificate of Amendment (Name Change) to the Third Amended and</w:t>
              </w:r>
            </w:hyperlink>
          </w:p>
        </w:tc>
        <w:tc>
          <w:tcPr>
            <w:tcW w:w="7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001-37809</w:t>
            </w:r>
          </w:p>
        </w:tc>
        <w:tc>
          <w:tcPr>
            <w:tcW w:w="80" w:type="dxa"/>
            <w:vAlign w:val="bottom"/>
          </w:tcPr>
          <w:p>
            <w:pPr>
              <w:spacing w:after="0"/>
              <w:rPr>
                <w:sz w:val="16"/>
                <w:szCs w:val="16"/>
                <w:color w:val="auto"/>
              </w:rPr>
            </w:pPr>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16"/>
                <w:szCs w:val="16"/>
                <w:color w:val="auto"/>
              </w:rPr>
            </w:pPr>
          </w:p>
        </w:tc>
        <w:tc>
          <w:tcPr>
            <w:tcW w:w="12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12/31/2019</w:t>
            </w:r>
          </w:p>
        </w:tc>
      </w:tr>
      <w:tr>
        <w:trPr>
          <w:trHeight w:val="194"/>
        </w:trPr>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400" w:type="dxa"/>
            <w:vAlign w:val="bottom"/>
            <w:tcBorders>
              <w:top w:val="single" w:sz="8" w:color="0000EE"/>
            </w:tcBorders>
            <w:gridSpan w:val="17"/>
          </w:tcPr>
          <w:p>
            <w:pPr>
              <w:jc w:val="center"/>
              <w:ind w:right="560"/>
              <w:spacing w:after="0" w:line="194"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Restated Certificate of Incorporation of the Registrant</w:t>
              </w:r>
            </w:hyperlink>
          </w:p>
        </w:tc>
        <w:tc>
          <w:tcPr>
            <w:tcW w:w="320" w:type="dxa"/>
            <w:vAlign w:val="bottom"/>
            <w:gridSpan w:val="7"/>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4"/>
        </w:trPr>
        <w:tc>
          <w:tcPr>
            <w:tcW w:w="1720" w:type="dxa"/>
            <w:vAlign w:val="bottom"/>
            <w:gridSpan w:val="2"/>
          </w:tcPr>
          <w:p>
            <w:pPr>
              <w:jc w:val="center"/>
              <w:ind w:left="571"/>
              <w:spacing w:after="0" w:line="194" w:lineRule="exact"/>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16"/>
                <w:szCs w:val="16"/>
                <w:color w:val="auto"/>
              </w:rPr>
            </w:pPr>
          </w:p>
        </w:tc>
        <w:tc>
          <w:tcPr>
            <w:tcW w:w="5500" w:type="dxa"/>
            <w:vAlign w:val="bottom"/>
            <w:gridSpan w:val="33"/>
          </w:tcPr>
          <w:p>
            <w:pPr>
              <w:jc w:val="center"/>
              <w:ind w:right="100"/>
              <w:spacing w:after="0" w:line="194" w:lineRule="exact"/>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Certificate of Amendment (Reverse Stock Split) to the Third Amended and</w:t>
              </w:r>
            </w:hyperlink>
          </w:p>
        </w:tc>
        <w:tc>
          <w:tcPr>
            <w:tcW w:w="7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001-37809</w:t>
            </w:r>
          </w:p>
        </w:tc>
        <w:tc>
          <w:tcPr>
            <w:tcW w:w="80" w:type="dxa"/>
            <w:vAlign w:val="bottom"/>
          </w:tcPr>
          <w:p>
            <w:pPr>
              <w:spacing w:after="0"/>
              <w:rPr>
                <w:sz w:val="16"/>
                <w:szCs w:val="16"/>
                <w:color w:val="auto"/>
              </w:rPr>
            </w:pPr>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6"/>
                <w:szCs w:val="16"/>
                <w:color w:val="auto"/>
              </w:rPr>
            </w:pPr>
          </w:p>
        </w:tc>
        <w:tc>
          <w:tcPr>
            <w:tcW w:w="12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9/12/2022</w:t>
            </w:r>
          </w:p>
        </w:tc>
      </w:tr>
      <w:tr>
        <w:trPr>
          <w:trHeight w:val="194"/>
        </w:trPr>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840" w:type="dxa"/>
            <w:vAlign w:val="bottom"/>
            <w:tcBorders>
              <w:top w:val="single" w:sz="8" w:color="0000EE"/>
              <w:bottom w:val="single" w:sz="8" w:color="0000EE"/>
            </w:tcBorders>
            <w:gridSpan w:val="13"/>
          </w:tcPr>
          <w:p>
            <w:pPr>
              <w:jc w:val="center"/>
              <w:spacing w:after="0" w:line="194" w:lineRule="exact"/>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Restated Certificate of Incorporation of the Registrant</w:t>
              </w:r>
            </w:hyperlink>
          </w:p>
        </w:tc>
        <w:tc>
          <w:tcPr>
            <w:tcW w:w="760" w:type="dxa"/>
            <w:vAlign w:val="bottom"/>
            <w:tcBorders>
              <w:top w:val="single" w:sz="8" w:color="0000EE"/>
            </w:tcBorders>
            <w:gridSpan w:val="9"/>
          </w:tcPr>
          <w:p>
            <w:pPr>
              <w:spacing w:after="0"/>
              <w:rPr>
                <w:sz w:val="16"/>
                <w:szCs w:val="16"/>
                <w:color w:val="auto"/>
              </w:rPr>
            </w:pPr>
          </w:p>
        </w:tc>
        <w:tc>
          <w:tcPr>
            <w:tcW w:w="120" w:type="dxa"/>
            <w:vAlign w:val="bottom"/>
            <w:gridSpan w:val="2"/>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4"/>
        </w:trPr>
        <w:tc>
          <w:tcPr>
            <w:tcW w:w="1720" w:type="dxa"/>
            <w:vAlign w:val="bottom"/>
            <w:gridSpan w:val="2"/>
          </w:tcPr>
          <w:p>
            <w:pPr>
              <w:jc w:val="center"/>
              <w:ind w:left="571"/>
              <w:spacing w:after="0" w:line="194" w:lineRule="exact"/>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60" w:type="dxa"/>
            <w:vAlign w:val="bottom"/>
            <w:gridSpan w:val="31"/>
          </w:tcPr>
          <w:p>
            <w:pPr>
              <w:jc w:val="center"/>
              <w:ind w:right="140"/>
              <w:spacing w:after="0" w:line="194"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Certificate of Amendment to the Third Amended and Restated Certificate</w:t>
              </w:r>
            </w:hyperlink>
          </w:p>
        </w:tc>
        <w:tc>
          <w:tcPr>
            <w:tcW w:w="7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001-37809</w:t>
            </w:r>
          </w:p>
        </w:tc>
        <w:tc>
          <w:tcPr>
            <w:tcW w:w="80" w:type="dxa"/>
            <w:vAlign w:val="bottom"/>
          </w:tcPr>
          <w:p>
            <w:pPr>
              <w:spacing w:after="0"/>
              <w:rPr>
                <w:sz w:val="16"/>
                <w:szCs w:val="16"/>
                <w:color w:val="auto"/>
              </w:rPr>
            </w:pPr>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6"/>
                <w:szCs w:val="16"/>
                <w:color w:val="auto"/>
              </w:rPr>
            </w:pPr>
          </w:p>
        </w:tc>
        <w:tc>
          <w:tcPr>
            <w:tcW w:w="12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12/19/2023</w:t>
            </w:r>
          </w:p>
        </w:tc>
      </w:tr>
      <w:tr>
        <w:trPr>
          <w:trHeight w:val="194"/>
        </w:trPr>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400" w:type="dxa"/>
            <w:vAlign w:val="bottom"/>
            <w:tcBorders>
              <w:top w:val="single" w:sz="8" w:color="0000EE"/>
              <w:bottom w:val="single" w:sz="8" w:color="0000EE"/>
            </w:tcBorders>
            <w:gridSpan w:val="10"/>
          </w:tcPr>
          <w:p>
            <w:pPr>
              <w:jc w:val="center"/>
              <w:spacing w:after="0" w:line="194"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of Incorporation of the Registrant</w:t>
              </w:r>
            </w:hyperlink>
          </w:p>
        </w:tc>
        <w:tc>
          <w:tcPr>
            <w:tcW w:w="1420" w:type="dxa"/>
            <w:vAlign w:val="bottom"/>
            <w:tcBorders>
              <w:top w:val="single" w:sz="8" w:color="0000EE"/>
            </w:tcBorders>
            <w:gridSpan w:val="8"/>
          </w:tcPr>
          <w:p>
            <w:pPr>
              <w:spacing w:after="0"/>
              <w:rPr>
                <w:sz w:val="16"/>
                <w:szCs w:val="16"/>
                <w:color w:val="auto"/>
              </w:rPr>
            </w:pPr>
          </w:p>
        </w:tc>
        <w:tc>
          <w:tcPr>
            <w:tcW w:w="180" w:type="dxa"/>
            <w:vAlign w:val="bottom"/>
            <w:gridSpan w:val="4"/>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4"/>
        </w:trPr>
        <w:tc>
          <w:tcPr>
            <w:tcW w:w="1720" w:type="dxa"/>
            <w:vAlign w:val="bottom"/>
            <w:gridSpan w:val="2"/>
          </w:tcPr>
          <w:p>
            <w:pPr>
              <w:jc w:val="center"/>
              <w:ind w:left="571"/>
              <w:spacing w:after="0" w:line="194" w:lineRule="exact"/>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360" w:type="dxa"/>
            <w:vAlign w:val="bottom"/>
            <w:gridSpan w:val="29"/>
          </w:tcPr>
          <w:p>
            <w:pPr>
              <w:jc w:val="center"/>
              <w:ind w:right="240"/>
              <w:spacing w:after="0" w:line="194" w:lineRule="exact"/>
              <w:rPr>
                <w:rFonts w:ascii="Times New Roman" w:cs="Times New Roman" w:eastAsia="Times New Roman" w:hAnsi="Times New Roman"/>
                <w:sz w:val="18"/>
                <w:szCs w:val="18"/>
                <w:color w:val="0000EE"/>
                <w:w w:val="98"/>
              </w:rPr>
            </w:pPr>
            <w:hyperlink r:id="rId29">
              <w:r>
                <w:rPr>
                  <w:rFonts w:ascii="Times New Roman" w:cs="Times New Roman" w:eastAsia="Times New Roman" w:hAnsi="Times New Roman"/>
                  <w:sz w:val="18"/>
                  <w:szCs w:val="18"/>
                  <w:color w:val="0000EE"/>
                  <w:w w:val="98"/>
                </w:rPr>
                <w:t>Certificate of Amendment (Name Change) to the Third Amended and</w:t>
              </w:r>
            </w:hyperlink>
          </w:p>
        </w:tc>
        <w:tc>
          <w:tcPr>
            <w:tcW w:w="7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001-37809</w:t>
            </w:r>
          </w:p>
        </w:tc>
        <w:tc>
          <w:tcPr>
            <w:tcW w:w="80" w:type="dxa"/>
            <w:vAlign w:val="bottom"/>
          </w:tcPr>
          <w:p>
            <w:pPr>
              <w:spacing w:after="0"/>
              <w:rPr>
                <w:sz w:val="16"/>
                <w:szCs w:val="16"/>
                <w:color w:val="auto"/>
              </w:rPr>
            </w:pPr>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6"/>
                <w:szCs w:val="16"/>
                <w:color w:val="auto"/>
              </w:rPr>
            </w:pPr>
          </w:p>
        </w:tc>
        <w:tc>
          <w:tcPr>
            <w:tcW w:w="12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11/18/2024</w:t>
            </w:r>
          </w:p>
        </w:tc>
      </w:tr>
      <w:tr>
        <w:trPr>
          <w:trHeight w:val="194"/>
        </w:trPr>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400" w:type="dxa"/>
            <w:vAlign w:val="bottom"/>
            <w:tcBorders>
              <w:top w:val="single" w:sz="8" w:color="0000EE"/>
            </w:tcBorders>
            <w:gridSpan w:val="17"/>
          </w:tcPr>
          <w:p>
            <w:pPr>
              <w:jc w:val="center"/>
              <w:ind w:right="560"/>
              <w:spacing w:after="0" w:line="194" w:lineRule="exact"/>
              <w:rPr>
                <w:rFonts w:ascii="Times New Roman" w:cs="Times New Roman" w:eastAsia="Times New Roman" w:hAnsi="Times New Roman"/>
                <w:sz w:val="18"/>
                <w:szCs w:val="18"/>
                <w:color w:val="0000EE"/>
                <w:w w:val="98"/>
              </w:rPr>
            </w:pPr>
            <w:hyperlink r:id="rId29">
              <w:r>
                <w:rPr>
                  <w:rFonts w:ascii="Times New Roman" w:cs="Times New Roman" w:eastAsia="Times New Roman" w:hAnsi="Times New Roman"/>
                  <w:sz w:val="18"/>
                  <w:szCs w:val="18"/>
                  <w:color w:val="0000EE"/>
                  <w:w w:val="98"/>
                </w:rPr>
                <w:t>Restated Certificate of Incorporation of the Registrant</w:t>
              </w:r>
            </w:hyperlink>
          </w:p>
        </w:tc>
        <w:tc>
          <w:tcPr>
            <w:tcW w:w="320" w:type="dxa"/>
            <w:vAlign w:val="bottom"/>
            <w:gridSpan w:val="7"/>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4"/>
        </w:trPr>
        <w:tc>
          <w:tcPr>
            <w:tcW w:w="1720" w:type="dxa"/>
            <w:vAlign w:val="bottom"/>
            <w:gridSpan w:val="2"/>
          </w:tcPr>
          <w:p>
            <w:pPr>
              <w:jc w:val="center"/>
              <w:ind w:left="571"/>
              <w:spacing w:after="0" w:line="194" w:lineRule="exact"/>
              <w:rPr>
                <w:sz w:val="20"/>
                <w:szCs w:val="20"/>
                <w:color w:val="auto"/>
              </w:rPr>
            </w:pPr>
            <w:r>
              <w:rPr>
                <w:rFonts w:ascii="Times New Roman" w:cs="Times New Roman" w:eastAsia="Times New Roman" w:hAnsi="Times New Roman"/>
                <w:sz w:val="18"/>
                <w:szCs w:val="18"/>
                <w:color w:val="auto"/>
                <w:w w:val="97"/>
              </w:rPr>
              <w:t>3.7</w:t>
            </w:r>
          </w:p>
        </w:tc>
        <w:tc>
          <w:tcPr>
            <w:tcW w:w="100" w:type="dxa"/>
            <w:vAlign w:val="bottom"/>
          </w:tcPr>
          <w:p>
            <w:pPr>
              <w:spacing w:after="0"/>
              <w:rPr>
                <w:sz w:val="16"/>
                <w:szCs w:val="16"/>
                <w:color w:val="auto"/>
              </w:rPr>
            </w:pPr>
          </w:p>
        </w:tc>
        <w:tc>
          <w:tcPr>
            <w:tcW w:w="5500" w:type="dxa"/>
            <w:vAlign w:val="bottom"/>
            <w:gridSpan w:val="33"/>
          </w:tcPr>
          <w:p>
            <w:pPr>
              <w:jc w:val="center"/>
              <w:ind w:right="100"/>
              <w:spacing w:after="0" w:line="194" w:lineRule="exact"/>
              <w:rPr>
                <w:rFonts w:ascii="Times New Roman" w:cs="Times New Roman" w:eastAsia="Times New Roman" w:hAnsi="Times New Roman"/>
                <w:sz w:val="18"/>
                <w:szCs w:val="18"/>
                <w:color w:val="0000EE"/>
                <w:w w:val="98"/>
              </w:rPr>
            </w:pPr>
            <w:hyperlink r:id="rId30">
              <w:r>
                <w:rPr>
                  <w:rFonts w:ascii="Times New Roman" w:cs="Times New Roman" w:eastAsia="Times New Roman" w:hAnsi="Times New Roman"/>
                  <w:sz w:val="18"/>
                  <w:szCs w:val="18"/>
                  <w:color w:val="0000EE"/>
                  <w:w w:val="98"/>
                </w:rPr>
                <w:t>Certificate of Amendment (Reverse Stock Split) to the Third Amended and</w:t>
              </w:r>
            </w:hyperlink>
          </w:p>
        </w:tc>
        <w:tc>
          <w:tcPr>
            <w:tcW w:w="7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001-37809</w:t>
            </w:r>
          </w:p>
        </w:tc>
        <w:tc>
          <w:tcPr>
            <w:tcW w:w="80" w:type="dxa"/>
            <w:vAlign w:val="bottom"/>
          </w:tcPr>
          <w:p>
            <w:pPr>
              <w:spacing w:after="0"/>
              <w:rPr>
                <w:sz w:val="16"/>
                <w:szCs w:val="16"/>
                <w:color w:val="auto"/>
              </w:rPr>
            </w:pPr>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6"/>
                <w:szCs w:val="16"/>
                <w:color w:val="auto"/>
              </w:rPr>
            </w:pPr>
          </w:p>
        </w:tc>
        <w:tc>
          <w:tcPr>
            <w:tcW w:w="12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12/02/2025</w:t>
            </w:r>
          </w:p>
        </w:tc>
      </w:tr>
      <w:tr>
        <w:trPr>
          <w:trHeight w:val="194"/>
        </w:trPr>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840" w:type="dxa"/>
            <w:vAlign w:val="bottom"/>
            <w:tcBorders>
              <w:top w:val="single" w:sz="8" w:color="0000EE"/>
              <w:bottom w:val="single" w:sz="8" w:color="0000EE"/>
            </w:tcBorders>
            <w:gridSpan w:val="13"/>
          </w:tcPr>
          <w:p>
            <w:pPr>
              <w:jc w:val="center"/>
              <w:spacing w:after="0" w:line="194" w:lineRule="exact"/>
              <w:rPr>
                <w:rFonts w:ascii="Times New Roman" w:cs="Times New Roman" w:eastAsia="Times New Roman" w:hAnsi="Times New Roman"/>
                <w:sz w:val="18"/>
                <w:szCs w:val="18"/>
                <w:color w:val="0000EE"/>
                <w:w w:val="98"/>
              </w:rPr>
            </w:pPr>
            <w:hyperlink r:id="rId30">
              <w:r>
                <w:rPr>
                  <w:rFonts w:ascii="Times New Roman" w:cs="Times New Roman" w:eastAsia="Times New Roman" w:hAnsi="Times New Roman"/>
                  <w:sz w:val="18"/>
                  <w:szCs w:val="18"/>
                  <w:color w:val="0000EE"/>
                  <w:w w:val="98"/>
                </w:rPr>
                <w:t>Restated Certificate of Incorporation of the Registrant</w:t>
              </w:r>
            </w:hyperlink>
          </w:p>
        </w:tc>
        <w:tc>
          <w:tcPr>
            <w:tcW w:w="760" w:type="dxa"/>
            <w:vAlign w:val="bottom"/>
            <w:tcBorders>
              <w:top w:val="single" w:sz="8" w:color="0000EE"/>
            </w:tcBorders>
            <w:gridSpan w:val="9"/>
          </w:tcPr>
          <w:p>
            <w:pPr>
              <w:spacing w:after="0"/>
              <w:rPr>
                <w:sz w:val="16"/>
                <w:szCs w:val="16"/>
                <w:color w:val="auto"/>
              </w:rPr>
            </w:pPr>
          </w:p>
        </w:tc>
        <w:tc>
          <w:tcPr>
            <w:tcW w:w="120" w:type="dxa"/>
            <w:vAlign w:val="bottom"/>
            <w:gridSpan w:val="2"/>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4"/>
        </w:trPr>
        <w:tc>
          <w:tcPr>
            <w:tcW w:w="1720" w:type="dxa"/>
            <w:vAlign w:val="bottom"/>
            <w:gridSpan w:val="2"/>
          </w:tcPr>
          <w:p>
            <w:pPr>
              <w:jc w:val="center"/>
              <w:ind w:left="571"/>
              <w:spacing w:after="0" w:line="194" w:lineRule="exact"/>
              <w:rPr>
                <w:sz w:val="20"/>
                <w:szCs w:val="20"/>
                <w:color w:val="auto"/>
              </w:rPr>
            </w:pPr>
            <w:r>
              <w:rPr>
                <w:rFonts w:ascii="Times New Roman" w:cs="Times New Roman" w:eastAsia="Times New Roman" w:hAnsi="Times New Roman"/>
                <w:sz w:val="18"/>
                <w:szCs w:val="18"/>
                <w:color w:val="auto"/>
                <w:w w:val="97"/>
              </w:rPr>
              <w:t>3.8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0" w:type="dxa"/>
            <w:vAlign w:val="bottom"/>
            <w:gridSpan w:val="25"/>
          </w:tcPr>
          <w:p>
            <w:pPr>
              <w:jc w:val="center"/>
              <w:ind w:right="820"/>
              <w:spacing w:after="0" w:line="194" w:lineRule="exact"/>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Fourth Amended and Restated Bylaws of the Registrant</w:t>
              </w:r>
            </w:hyperlink>
          </w:p>
        </w:tc>
        <w:tc>
          <w:tcPr>
            <w:tcW w:w="7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001-37809</w:t>
            </w:r>
          </w:p>
        </w:tc>
        <w:tc>
          <w:tcPr>
            <w:tcW w:w="80" w:type="dxa"/>
            <w:vAlign w:val="bottom"/>
          </w:tcPr>
          <w:p>
            <w:pPr>
              <w:spacing w:after="0"/>
              <w:rPr>
                <w:sz w:val="16"/>
                <w:szCs w:val="16"/>
                <w:color w:val="auto"/>
              </w:rPr>
            </w:pPr>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16"/>
                <w:szCs w:val="16"/>
                <w:color w:val="auto"/>
              </w:rPr>
            </w:pPr>
          </w:p>
        </w:tc>
        <w:tc>
          <w:tcPr>
            <w:tcW w:w="12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11/18/2024</w:t>
            </w:r>
          </w:p>
        </w:tc>
      </w:tr>
      <w:tr>
        <w:trPr>
          <w:trHeight w:val="194"/>
        </w:trPr>
        <w:tc>
          <w:tcPr>
            <w:tcW w:w="1720" w:type="dxa"/>
            <w:vAlign w:val="bottom"/>
            <w:gridSpan w:val="2"/>
          </w:tcPr>
          <w:p>
            <w:pPr>
              <w:jc w:val="center"/>
              <w:ind w:left="551"/>
              <w:spacing w:after="0" w:line="194"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960" w:type="dxa"/>
            <w:vAlign w:val="bottom"/>
            <w:tcBorders>
              <w:top w:val="single" w:sz="8" w:color="0000EE"/>
            </w:tcBorders>
            <w:gridSpan w:val="10"/>
          </w:tcPr>
          <w:p>
            <w:pPr>
              <w:jc w:val="center"/>
              <w:ind w:right="1020"/>
              <w:spacing w:after="0" w:line="194" w:lineRule="exact"/>
              <w:rPr>
                <w:sz w:val="20"/>
                <w:szCs w:val="20"/>
                <w:color w:val="auto"/>
              </w:rPr>
            </w:pPr>
            <w:r>
              <w:rPr>
                <w:rFonts w:ascii="Times New Roman" w:cs="Times New Roman" w:eastAsia="Times New Roman" w:hAnsi="Times New Roman"/>
                <w:sz w:val="18"/>
                <w:szCs w:val="18"/>
                <w:color w:val="0000EE"/>
                <w:w w:val="99"/>
              </w:rPr>
              <w:t>Opinion of Honigman LLP</w:t>
            </w:r>
          </w:p>
        </w:tc>
        <w:tc>
          <w:tcPr>
            <w:tcW w:w="820" w:type="dxa"/>
            <w:vAlign w:val="bottom"/>
            <w:gridSpan w:val="10"/>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4"/>
        </w:trPr>
        <w:tc>
          <w:tcPr>
            <w:tcW w:w="1720" w:type="dxa"/>
            <w:vAlign w:val="bottom"/>
            <w:gridSpan w:val="2"/>
          </w:tcPr>
          <w:p>
            <w:pPr>
              <w:jc w:val="center"/>
              <w:ind w:left="551"/>
              <w:spacing w:after="0" w:line="194" w:lineRule="exact"/>
              <w:rPr>
                <w:sz w:val="20"/>
                <w:szCs w:val="20"/>
                <w:color w:val="auto"/>
              </w:rPr>
            </w:pPr>
            <w:r>
              <w:rPr>
                <w:rFonts w:ascii="Times New Roman" w:cs="Times New Roman" w:eastAsia="Times New Roman" w:hAnsi="Times New Roman"/>
                <w:sz w:val="18"/>
                <w:szCs w:val="18"/>
                <w:color w:val="auto"/>
                <w:w w:val="98"/>
              </w:rPr>
              <w:t>23.1*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20" w:type="dxa"/>
            <w:vAlign w:val="bottom"/>
            <w:gridSpan w:val="30"/>
          </w:tcPr>
          <w:p>
            <w:pPr>
              <w:jc w:val="center"/>
              <w:ind w:right="180"/>
              <w:spacing w:after="0" w:line="194" w:lineRule="exact"/>
              <w:rPr>
                <w:sz w:val="20"/>
                <w:szCs w:val="20"/>
                <w:color w:val="auto"/>
              </w:rPr>
            </w:pPr>
            <w:r>
              <w:rPr>
                <w:rFonts w:ascii="Times New Roman" w:cs="Times New Roman" w:eastAsia="Times New Roman" w:hAnsi="Times New Roman"/>
                <w:sz w:val="18"/>
                <w:szCs w:val="18"/>
                <w:color w:val="0000EE"/>
                <w:w w:val="98"/>
              </w:rPr>
              <w:t>Consent of BDO USA, P.C., Independent Registered Public Accounting</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4"/>
        </w:trPr>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740" w:type="dxa"/>
            <w:vAlign w:val="bottom"/>
            <w:tcBorders>
              <w:top w:val="single" w:sz="8" w:color="0000EE"/>
            </w:tcBorders>
            <w:gridSpan w:val="12"/>
          </w:tcPr>
          <w:p>
            <w:pPr>
              <w:jc w:val="center"/>
              <w:ind w:right="2400"/>
              <w:spacing w:after="0" w:line="194" w:lineRule="exact"/>
              <w:rPr>
                <w:sz w:val="20"/>
                <w:szCs w:val="20"/>
                <w:color w:val="auto"/>
              </w:rPr>
            </w:pPr>
            <w:r>
              <w:rPr>
                <w:rFonts w:ascii="Times New Roman" w:cs="Times New Roman" w:eastAsia="Times New Roman" w:hAnsi="Times New Roman"/>
                <w:sz w:val="18"/>
                <w:szCs w:val="18"/>
                <w:color w:val="0000EE"/>
                <w:w w:val="96"/>
              </w:rPr>
              <w:t>Firm</w:t>
            </w:r>
          </w:p>
        </w:tc>
        <w:tc>
          <w:tcPr>
            <w:tcW w:w="240" w:type="dxa"/>
            <w:vAlign w:val="bottom"/>
            <w:gridSpan w:val="5"/>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4"/>
        </w:trPr>
        <w:tc>
          <w:tcPr>
            <w:tcW w:w="1720" w:type="dxa"/>
            <w:vAlign w:val="bottom"/>
            <w:gridSpan w:val="2"/>
          </w:tcPr>
          <w:p>
            <w:pPr>
              <w:jc w:val="center"/>
              <w:ind w:left="551"/>
              <w:spacing w:after="0" w:line="194" w:lineRule="exact"/>
              <w:rPr>
                <w:sz w:val="20"/>
                <w:szCs w:val="20"/>
                <w:color w:val="auto"/>
              </w:rPr>
            </w:pPr>
            <w:r>
              <w:rPr>
                <w:rFonts w:ascii="Times New Roman" w:cs="Times New Roman" w:eastAsia="Times New Roman" w:hAnsi="Times New Roman"/>
                <w:sz w:val="18"/>
                <w:szCs w:val="18"/>
                <w:color w:val="auto"/>
                <w:w w:val="98"/>
              </w:rPr>
              <w:t>23.2*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80" w:type="dxa"/>
            <w:vAlign w:val="bottom"/>
            <w:tcBorders>
              <w:bottom w:val="single" w:sz="8" w:color="0000EE"/>
            </w:tcBorders>
            <w:gridSpan w:val="12"/>
          </w:tcPr>
          <w:p>
            <w:pPr>
              <w:jc w:val="center"/>
              <w:ind w:right="60"/>
              <w:spacing w:after="0" w:line="194" w:lineRule="exact"/>
              <w:rPr>
                <w:sz w:val="20"/>
                <w:szCs w:val="20"/>
                <w:color w:val="auto"/>
              </w:rPr>
            </w:pPr>
            <w:r>
              <w:rPr>
                <w:rFonts w:ascii="Times New Roman" w:cs="Times New Roman" w:eastAsia="Times New Roman" w:hAnsi="Times New Roman"/>
                <w:sz w:val="18"/>
                <w:szCs w:val="18"/>
                <w:color w:val="0000EE"/>
                <w:w w:val="98"/>
              </w:rPr>
              <w:t>Consent of Honigman LLP (included in Exhibit 5.1)</w:t>
            </w:r>
          </w:p>
        </w:tc>
        <w:tc>
          <w:tcPr>
            <w:tcW w:w="880" w:type="dxa"/>
            <w:vAlign w:val="bottom"/>
            <w:gridSpan w:val="11"/>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4"/>
        </w:trPr>
        <w:tc>
          <w:tcPr>
            <w:tcW w:w="1720" w:type="dxa"/>
            <w:vAlign w:val="bottom"/>
            <w:gridSpan w:val="2"/>
          </w:tcPr>
          <w:p>
            <w:pPr>
              <w:jc w:val="center"/>
              <w:ind w:left="551"/>
              <w:spacing w:after="0" w:line="194" w:lineRule="exact"/>
              <w:rPr>
                <w:sz w:val="20"/>
                <w:szCs w:val="20"/>
                <w:color w:val="auto"/>
              </w:rPr>
            </w:pPr>
            <w:r>
              <w:rPr>
                <w:rFonts w:ascii="Times New Roman" w:cs="Times New Roman" w:eastAsia="Times New Roman" w:hAnsi="Times New Roman"/>
                <w:sz w:val="18"/>
                <w:szCs w:val="18"/>
                <w:color w:val="auto"/>
                <w:w w:val="98"/>
              </w:rPr>
              <w:t>24.1*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40" w:type="dxa"/>
            <w:vAlign w:val="bottom"/>
            <w:tcBorders>
              <w:bottom w:val="single" w:sz="8" w:color="0000EE"/>
            </w:tcBorders>
            <w:gridSpan w:val="19"/>
          </w:tcPr>
          <w:p>
            <w:pPr>
              <w:jc w:val="center"/>
              <w:spacing w:after="0" w:line="194" w:lineRule="exact"/>
              <w:rPr>
                <w:sz w:val="20"/>
                <w:szCs w:val="20"/>
                <w:color w:val="auto"/>
              </w:rPr>
            </w:pPr>
            <w:r>
              <w:rPr>
                <w:rFonts w:ascii="Times New Roman" w:cs="Times New Roman" w:eastAsia="Times New Roman" w:hAnsi="Times New Roman"/>
                <w:sz w:val="18"/>
                <w:szCs w:val="18"/>
                <w:color w:val="0000EE"/>
                <w:w w:val="98"/>
              </w:rPr>
              <w:t>Power of Attorney of certain directors and officers of the Registrant</w:t>
            </w:r>
          </w:p>
        </w:tc>
        <w:tc>
          <w:tcPr>
            <w:tcW w:w="380" w:type="dxa"/>
            <w:vAlign w:val="bottom"/>
            <w:gridSpan w:val="8"/>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4"/>
        </w:trPr>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Borders>
              <w:bottom w:val="single" w:sz="8" w:color="0000EE"/>
            </w:tcBorders>
            <w:gridSpan w:val="8"/>
          </w:tcPr>
          <w:p>
            <w:pPr>
              <w:jc w:val="center"/>
              <w:spacing w:after="0" w:line="194" w:lineRule="exact"/>
              <w:rPr>
                <w:sz w:val="20"/>
                <w:szCs w:val="20"/>
                <w:color w:val="auto"/>
              </w:rPr>
            </w:pPr>
            <w:r>
              <w:rPr>
                <w:rFonts w:ascii="Times New Roman" w:cs="Times New Roman" w:eastAsia="Times New Roman" w:hAnsi="Times New Roman"/>
                <w:sz w:val="18"/>
                <w:szCs w:val="18"/>
                <w:color w:val="0000EE"/>
                <w:w w:val="99"/>
              </w:rPr>
              <w:t>(contained on signature page)</w:t>
            </w:r>
          </w:p>
        </w:tc>
        <w:tc>
          <w:tcPr>
            <w:tcW w:w="1740" w:type="dxa"/>
            <w:vAlign w:val="bottom"/>
            <w:gridSpan w:val="13"/>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4"/>
        </w:trPr>
        <w:tc>
          <w:tcPr>
            <w:tcW w:w="1720" w:type="dxa"/>
            <w:vAlign w:val="bottom"/>
            <w:gridSpan w:val="2"/>
          </w:tcPr>
          <w:p>
            <w:pPr>
              <w:jc w:val="center"/>
              <w:ind w:left="551"/>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360" w:type="dxa"/>
            <w:vAlign w:val="bottom"/>
            <w:gridSpan w:val="29"/>
          </w:tcPr>
          <w:p>
            <w:pPr>
              <w:jc w:val="center"/>
              <w:ind w:right="260"/>
              <w:spacing w:after="0" w:line="194" w:lineRule="exact"/>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Amended and Restated 2022 Equity Incentive Plan of the Registrant, as</w:t>
              </w:r>
            </w:hyperlink>
          </w:p>
        </w:tc>
        <w:tc>
          <w:tcPr>
            <w:tcW w:w="7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7"/>
              </w:rPr>
              <w:t>10-K</w:t>
            </w: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001-37809</w:t>
            </w:r>
          </w:p>
        </w:tc>
        <w:tc>
          <w:tcPr>
            <w:tcW w:w="80" w:type="dxa"/>
            <w:vAlign w:val="bottom"/>
          </w:tcPr>
          <w:p>
            <w:pPr>
              <w:spacing w:after="0"/>
              <w:rPr>
                <w:sz w:val="16"/>
                <w:szCs w:val="16"/>
                <w:color w:val="auto"/>
              </w:rPr>
            </w:pPr>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6"/>
                <w:szCs w:val="16"/>
                <w:color w:val="auto"/>
              </w:rPr>
            </w:pPr>
          </w:p>
        </w:tc>
        <w:tc>
          <w:tcPr>
            <w:tcW w:w="12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3/20/2025</w:t>
            </w:r>
          </w:p>
        </w:tc>
      </w:tr>
      <w:tr>
        <w:trPr>
          <w:trHeight w:val="194"/>
        </w:trPr>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440" w:type="dxa"/>
            <w:vAlign w:val="bottom"/>
            <w:tcBorders>
              <w:top w:val="single" w:sz="8" w:color="0000EE"/>
              <w:bottom w:val="single" w:sz="8" w:color="0000EE"/>
            </w:tcBorders>
            <w:gridSpan w:val="17"/>
          </w:tcPr>
          <w:p>
            <w:pPr>
              <w:jc w:val="center"/>
              <w:spacing w:after="0" w:line="194" w:lineRule="exact"/>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amended November 29, 2024, and forms of award agreements</w:t>
              </w:r>
            </w:hyperlink>
          </w:p>
        </w:tc>
        <w:tc>
          <w:tcPr>
            <w:tcW w:w="320" w:type="dxa"/>
            <w:vAlign w:val="bottom"/>
            <w:tcBorders>
              <w:top w:val="single" w:sz="8" w:color="0000EE"/>
            </w:tcBorders>
            <w:gridSpan w:val="3"/>
          </w:tcPr>
          <w:p>
            <w:pPr>
              <w:spacing w:after="0"/>
              <w:rPr>
                <w:sz w:val="16"/>
                <w:szCs w:val="16"/>
                <w:color w:val="auto"/>
              </w:rPr>
            </w:pPr>
          </w:p>
        </w:tc>
        <w:tc>
          <w:tcPr>
            <w:tcW w:w="260" w:type="dxa"/>
            <w:vAlign w:val="bottom"/>
            <w:gridSpan w:val="6"/>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4"/>
        </w:trPr>
        <w:tc>
          <w:tcPr>
            <w:tcW w:w="1720" w:type="dxa"/>
            <w:vAlign w:val="bottom"/>
            <w:gridSpan w:val="2"/>
          </w:tcPr>
          <w:p>
            <w:pPr>
              <w:jc w:val="center"/>
              <w:ind w:left="551"/>
              <w:spacing w:after="0" w:line="194"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6"/>
                <w:szCs w:val="16"/>
                <w:color w:val="auto"/>
              </w:rPr>
            </w:pPr>
          </w:p>
        </w:tc>
        <w:tc>
          <w:tcPr>
            <w:tcW w:w="5500" w:type="dxa"/>
            <w:vAlign w:val="bottom"/>
            <w:gridSpan w:val="33"/>
          </w:tcPr>
          <w:p>
            <w:pPr>
              <w:jc w:val="center"/>
              <w:ind w:right="120"/>
              <w:spacing w:after="0" w:line="194" w:lineRule="exact"/>
              <w:rPr>
                <w:rFonts w:ascii="Times New Roman" w:cs="Times New Roman" w:eastAsia="Times New Roman" w:hAnsi="Times New Roman"/>
                <w:sz w:val="18"/>
                <w:szCs w:val="18"/>
                <w:color w:val="0000EE"/>
                <w:w w:val="98"/>
              </w:rPr>
            </w:pPr>
            <w:hyperlink r:id="rId33">
              <w:r>
                <w:rPr>
                  <w:rFonts w:ascii="Times New Roman" w:cs="Times New Roman" w:eastAsia="Times New Roman" w:hAnsi="Times New Roman"/>
                  <w:sz w:val="18"/>
                  <w:szCs w:val="18"/>
                  <w:color w:val="0000EE"/>
                  <w:w w:val="98"/>
                </w:rPr>
                <w:t>First Amendment to the Amended and Restated 2022 Equity Incentive Plan</w:t>
              </w:r>
            </w:hyperlink>
          </w:p>
        </w:tc>
        <w:tc>
          <w:tcPr>
            <w:tcW w:w="7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001-37809</w:t>
            </w:r>
          </w:p>
        </w:tc>
        <w:tc>
          <w:tcPr>
            <w:tcW w:w="80" w:type="dxa"/>
            <w:vAlign w:val="bottom"/>
          </w:tcPr>
          <w:p>
            <w:pPr>
              <w:spacing w:after="0"/>
              <w:rPr>
                <w:sz w:val="16"/>
                <w:szCs w:val="16"/>
                <w:color w:val="auto"/>
              </w:rPr>
            </w:pPr>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6"/>
                <w:szCs w:val="16"/>
                <w:color w:val="auto"/>
              </w:rPr>
            </w:pPr>
          </w:p>
        </w:tc>
        <w:tc>
          <w:tcPr>
            <w:tcW w:w="12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6/8/2026</w:t>
            </w:r>
          </w:p>
        </w:tc>
      </w:tr>
      <w:tr>
        <w:trPr>
          <w:trHeight w:val="194"/>
        </w:trPr>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280" w:type="dxa"/>
            <w:vAlign w:val="bottom"/>
            <w:tcBorders>
              <w:top w:val="single" w:sz="8" w:color="0000EE"/>
            </w:tcBorders>
            <w:gridSpan w:val="17"/>
          </w:tcPr>
          <w:p>
            <w:pPr>
              <w:jc w:val="center"/>
              <w:ind w:right="2100"/>
              <w:spacing w:after="0" w:line="194" w:lineRule="exact"/>
              <w:rPr>
                <w:rFonts w:ascii="Times New Roman" w:cs="Times New Roman" w:eastAsia="Times New Roman" w:hAnsi="Times New Roman"/>
                <w:sz w:val="18"/>
                <w:szCs w:val="18"/>
                <w:color w:val="0000EE"/>
                <w:w w:val="98"/>
              </w:rPr>
            </w:pPr>
            <w:hyperlink r:id="rId33">
              <w:r>
                <w:rPr>
                  <w:rFonts w:ascii="Times New Roman" w:cs="Times New Roman" w:eastAsia="Times New Roman" w:hAnsi="Times New Roman"/>
                  <w:sz w:val="18"/>
                  <w:szCs w:val="18"/>
                  <w:color w:val="0000EE"/>
                  <w:w w:val="98"/>
                </w:rPr>
                <w:t>of the Registrant</w:t>
              </w:r>
            </w:hyperlink>
          </w:p>
        </w:tc>
        <w:tc>
          <w:tcPr>
            <w:tcW w:w="120" w:type="dxa"/>
            <w:vAlign w:val="bottom"/>
            <w:gridSpan w:val="2"/>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4"/>
        </w:trPr>
        <w:tc>
          <w:tcPr>
            <w:tcW w:w="1720" w:type="dxa"/>
            <w:vAlign w:val="bottom"/>
            <w:gridSpan w:val="2"/>
          </w:tcPr>
          <w:p>
            <w:pPr>
              <w:jc w:val="center"/>
              <w:ind w:left="551"/>
              <w:spacing w:after="0" w:line="194" w:lineRule="exact"/>
              <w:rPr>
                <w:sz w:val="20"/>
                <w:szCs w:val="20"/>
                <w:color w:val="auto"/>
              </w:rPr>
            </w:pPr>
            <w:r>
              <w:rPr>
                <w:rFonts w:ascii="Times New Roman" w:cs="Times New Roman" w:eastAsia="Times New Roman" w:hAnsi="Times New Roman"/>
                <w:sz w:val="18"/>
                <w:szCs w:val="18"/>
                <w:color w:val="auto"/>
                <w:w w:val="99"/>
              </w:rPr>
              <w:t>107*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160" w:type="dxa"/>
            <w:vAlign w:val="bottom"/>
            <w:tcBorders>
              <w:top w:val="single" w:sz="8" w:color="0000EE"/>
              <w:bottom w:val="single" w:sz="8" w:color="0000EE"/>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97"/>
              </w:rPr>
              <w:t>Filing Fee Table</w:t>
            </w:r>
          </w:p>
        </w:tc>
        <w:tc>
          <w:tcPr>
            <w:tcW w:w="2220" w:type="dxa"/>
            <w:vAlign w:val="bottom"/>
            <w:gridSpan w:val="15"/>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152400</wp:posOffset>
            </wp:positionV>
            <wp:extent cx="1781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29" w:lineRule="exact"/>
        <w:rPr>
          <w:sz w:val="20"/>
          <w:szCs w:val="20"/>
          <w:color w:val="auto"/>
        </w:rPr>
      </w:pPr>
    </w:p>
    <w:p>
      <w:pPr>
        <w:ind w:left="1280" w:hanging="632"/>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448310</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hereunto duly authorized, in the City of Cambridge, Commonwealth of Massachusetts, on June 8, 2026.</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2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Hyung Heon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17145</wp:posOffset>
            </wp:positionV>
            <wp:extent cx="33502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Hyung Heon Kim</w:t>
      </w:r>
    </w:p>
    <w:p>
      <w:pPr>
        <w:spacing w:after="0" w:line="20"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 Director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Hyung Heon Kim and Andrew I. Koven, and each of them, as his true and lawful attorneys-in-fact, proxies and agents, each with full power of substitution and resubstitution, for him and in his name, place and stead, in any and all capacities, to sign any and all amendments to this Registration Statement, including post-effective amendments and to file the same, with any exhibits thereto and other documents in connection therewith, with the Commission, or any state securities department or any other federal or state agency or governmental authority granting unto such attorneys-in-fact, proxies and agents full power and authority to do and perform each and every act and thing requisite and necessary to be done in and about the premises, as fully to all intents and purposes as he might or could do in person, hereby ratifying and confirming all that said attorneys-in-fact, proxies and agents, or their or his substitutes, may lawfully do or cause to be done by virtue hereof.</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on behalf of the Registrant in the capacities and on the dates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Hyung Heon Kim</w:t>
            </w:r>
          </w:p>
        </w:tc>
        <w:tc>
          <w:tcPr>
            <w:tcW w:w="12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President, Chief Executive Officer (Principal Executive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8, 2026</w:t>
            </w:r>
          </w:p>
        </w:tc>
      </w:tr>
      <w:tr>
        <w:trPr>
          <w:trHeight w:val="22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Hyung Heon Kim</w:t>
            </w:r>
          </w:p>
        </w:tc>
        <w:tc>
          <w:tcPr>
            <w:tcW w:w="120" w:type="dxa"/>
            <w:vAlign w:val="bottom"/>
          </w:tcPr>
          <w:p>
            <w:pPr>
              <w:spacing w:after="0"/>
              <w:rPr>
                <w:sz w:val="19"/>
                <w:szCs w:val="19"/>
                <w:color w:val="auto"/>
              </w:rPr>
            </w:pPr>
          </w:p>
        </w:tc>
        <w:tc>
          <w:tcPr>
            <w:tcW w:w="4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Officer) and Director</w:t>
            </w:r>
          </w:p>
        </w:tc>
        <w:tc>
          <w:tcPr>
            <w:tcW w:w="2480" w:type="dxa"/>
            <w:vAlign w:val="bottom"/>
          </w:tcPr>
          <w:p>
            <w:pPr>
              <w:spacing w:after="0"/>
              <w:rPr>
                <w:sz w:val="19"/>
                <w:szCs w:val="19"/>
                <w:color w:val="auto"/>
              </w:rPr>
            </w:pPr>
          </w:p>
        </w:tc>
      </w:tr>
      <w:tr>
        <w:trPr>
          <w:trHeight w:val="409"/>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 Marshall H. Woodworth</w:t>
            </w:r>
          </w:p>
        </w:tc>
        <w:tc>
          <w:tcPr>
            <w:tcW w:w="120" w:type="dxa"/>
            <w:vAlign w:val="bottom"/>
          </w:tcPr>
          <w:p>
            <w:pPr>
              <w:spacing w:after="0"/>
              <w:rPr>
                <w:sz w:val="24"/>
                <w:szCs w:val="24"/>
                <w:color w:val="auto"/>
              </w:rPr>
            </w:pPr>
          </w:p>
        </w:tc>
        <w:tc>
          <w:tcPr>
            <w:tcW w:w="4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 and</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8, 2026</w:t>
            </w:r>
          </w:p>
        </w:tc>
      </w:tr>
      <w:tr>
        <w:trPr>
          <w:trHeight w:val="22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Marshall H. Woodworth</w:t>
            </w:r>
          </w:p>
        </w:tc>
        <w:tc>
          <w:tcPr>
            <w:tcW w:w="120" w:type="dxa"/>
            <w:vAlign w:val="bottom"/>
          </w:tcPr>
          <w:p>
            <w:pPr>
              <w:spacing w:after="0"/>
              <w:rPr>
                <w:sz w:val="19"/>
                <w:szCs w:val="19"/>
                <w:color w:val="auto"/>
              </w:rPr>
            </w:pPr>
          </w:p>
        </w:tc>
        <w:tc>
          <w:tcPr>
            <w:tcW w:w="4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480" w:type="dxa"/>
            <w:vAlign w:val="bottom"/>
          </w:tcPr>
          <w:p>
            <w:pPr>
              <w:spacing w:after="0"/>
              <w:rPr>
                <w:sz w:val="19"/>
                <w:szCs w:val="19"/>
                <w:color w:val="auto"/>
              </w:rPr>
            </w:pPr>
          </w:p>
        </w:tc>
      </w:tr>
      <w:tr>
        <w:trPr>
          <w:trHeight w:val="409"/>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 Andrew I. Koven</w:t>
            </w:r>
          </w:p>
        </w:tc>
        <w:tc>
          <w:tcPr>
            <w:tcW w:w="120" w:type="dxa"/>
            <w:vAlign w:val="bottom"/>
          </w:tcPr>
          <w:p>
            <w:pPr>
              <w:spacing w:after="0"/>
              <w:rPr>
                <w:sz w:val="24"/>
                <w:szCs w:val="24"/>
                <w:color w:val="auto"/>
              </w:rPr>
            </w:pPr>
          </w:p>
        </w:tc>
        <w:tc>
          <w:tcPr>
            <w:tcW w:w="4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8, 2026</w:t>
            </w:r>
          </w:p>
        </w:tc>
      </w:tr>
      <w:tr>
        <w:trPr>
          <w:trHeight w:val="22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Andrew I. Koven</w:t>
            </w:r>
          </w:p>
        </w:tc>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09"/>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Mark A. Glickman</w:t>
            </w:r>
          </w:p>
        </w:tc>
        <w:tc>
          <w:tcPr>
            <w:tcW w:w="12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8, 2026</w:t>
            </w:r>
          </w:p>
        </w:tc>
      </w:tr>
      <w:tr>
        <w:trPr>
          <w:trHeight w:val="22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A. Glickman</w:t>
            </w:r>
          </w:p>
        </w:tc>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09"/>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 Jason L. Groves</w:t>
            </w:r>
          </w:p>
        </w:tc>
        <w:tc>
          <w:tcPr>
            <w:tcW w:w="12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8, 2026</w:t>
            </w:r>
          </w:p>
        </w:tc>
      </w:tr>
      <w:tr>
        <w:trPr>
          <w:trHeight w:val="22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Jason L. Groves</w:t>
            </w:r>
          </w:p>
        </w:tc>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09"/>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Michael Salsbury</w:t>
            </w:r>
          </w:p>
        </w:tc>
        <w:tc>
          <w:tcPr>
            <w:tcW w:w="12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8, 2026</w:t>
            </w:r>
          </w:p>
        </w:tc>
      </w:tr>
      <w:tr>
        <w:trPr>
          <w:trHeight w:val="22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Michael Salsbury</w:t>
            </w:r>
          </w:p>
        </w:tc>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09"/>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D. Gordon Strickland</w:t>
            </w:r>
          </w:p>
        </w:tc>
        <w:tc>
          <w:tcPr>
            <w:tcW w:w="12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8, 2026</w:t>
            </w:r>
          </w:p>
        </w:tc>
      </w:tr>
      <w:tr>
        <w:trPr>
          <w:trHeight w:val="22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 Gordon Strickland</w:t>
            </w:r>
          </w:p>
        </w:tc>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09"/>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 James P. Tursi, M.D.</w:t>
            </w:r>
          </w:p>
        </w:tc>
        <w:tc>
          <w:tcPr>
            <w:tcW w:w="120" w:type="dxa"/>
            <w:vAlign w:val="bottom"/>
          </w:tcPr>
          <w:p>
            <w:pPr>
              <w:spacing w:after="0"/>
              <w:rPr>
                <w:sz w:val="24"/>
                <w:szCs w:val="24"/>
                <w:color w:val="auto"/>
              </w:rPr>
            </w:pPr>
          </w:p>
        </w:tc>
        <w:tc>
          <w:tcPr>
            <w:tcW w:w="4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8, 2026</w:t>
            </w:r>
          </w:p>
        </w:tc>
      </w:tr>
      <w:tr>
        <w:trPr>
          <w:trHeight w:val="22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James P. Tursi, M.D.</w:t>
            </w:r>
          </w:p>
        </w:tc>
        <w:tc>
          <w:tcPr>
            <w:tcW w:w="1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49"/>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1806575" cy="330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1806575" cy="33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8,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MetaVia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545 Concord Avenue, Suite 210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02138</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 Registration Statement on Form S-8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6"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18"/>
          <w:szCs w:val="18"/>
          <w:color w:val="auto"/>
        </w:rPr>
        <w:t xml:space="preserve">We have acted as counsel to MetaVia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in connection with the preparation and filing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for the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of an additional 200,000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xml:space="preserve">) of the Company’s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to be issued by the Company pursuant to awards under the MetaVia Inc. Amended and Restated 2022 Equity Incentive Plan (as amended from time to time, the </w:t>
      </w:r>
      <w:r>
        <w:rPr>
          <w:rFonts w:ascii="Times New Roman" w:cs="Times New Roman" w:eastAsia="Times New Roman" w:hAnsi="Times New Roman"/>
          <w:sz w:val="18"/>
          <w:szCs w:val="18"/>
          <w:b w:val="1"/>
          <w:bCs w:val="1"/>
          <w:i w:val="1"/>
          <w:iCs w:val="1"/>
          <w:color w:val="auto"/>
        </w:rPr>
        <w:t>“2022 Incentive Plan”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 xml:space="preserve">We do not express any opinion herein concerning any law other than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We are not admitted to practice in the State of Delaware and, with respect to the opinion set forth herein, insofar as it relates to any Delaware law, we have limited our review to standard compilations available to us of the DGCL, which we have assumed to be accurate and complete, and we have not reviewed case law.</w:t>
      </w:r>
    </w:p>
    <w:p>
      <w:pPr>
        <w:spacing w:after="0" w:line="173"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In rendering the opinion set forth herein, we have assumed the genuineness of all signatures on all documents examined by us, the due authority of the parties signing such documents, the authenticity of all documents submitted to us as originals, the conformity to authentic originals of all documents submitted to us as copies and that the offer and sale of the Shares complies in all respects with the terms, conditions and restrictions set forth in the Registration Statement and the 2022 Incentive Plan. The Company has represented to us, and we have also assumed, that the Company has reserved from its duly authorized capital stock a sufficient number of shares of Common Stock, including the Shares, for issuance under the 2022 Incentive Plan and will keep such reserve available at all times to enable the Company to issue and deliver the Shares upon the settlement of awards under the 2022 Incentive Plan.</w:t>
      </w:r>
    </w:p>
    <w:p>
      <w:pPr>
        <w:spacing w:after="0" w:line="187"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Based upon, subject to and limited by the foregoing, and based upon our examination of such documents and other matters as we deem relevant, we are of the opinion that the Shares to be issued by the Company under the 2022 Incentive Plan pursuant to the Registration Statement are duly authorized and, when issued and sold by the Company in accordance with the 2022 Incentive Plan and the awards thereunder, the Registration Statement and the related prospectus, will be validly issued, fully paid and non-assessable.</w:t>
      </w:r>
    </w:p>
    <w:p>
      <w:pPr>
        <w:spacing w:after="0" w:line="182"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This opinion letter speaks only as of its date. We do not undertake any obligation to advise you or any other party of changes of law or fact that occur after the date of this opinion letter – even though the change may affect the legal analysis or legal conclusion in this opinion letter.</w:t>
      </w:r>
    </w:p>
    <w:p>
      <w:pPr>
        <w:spacing w:after="0" w:line="16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Exhibit 5.1 to the Registration Statement. In giving such consent, we do not admit that we are within the category of persons whose consent is required by Section 7 of the Securities Act or the rules and regulations promulgated thereunder by the Commission.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Honigman LLP • 650 Trade Centre Way • Suite 200 • Kalamazoo, Michigan 49002-0402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442595</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 w:name="page6"/>
    <w:bookmarkEnd w:id="5"/>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581025</wp:posOffset>
            </wp:positionV>
            <wp:extent cx="1806575" cy="330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806575" cy="3308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June 8, 2026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Honigman LLP</w:t>
      </w:r>
    </w:p>
    <w:p>
      <w:pPr>
        <w:spacing w:after="0" w:line="2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HONIGMAN LLP</w:t>
      </w:r>
    </w:p>
    <w:p>
      <w:pPr>
        <w:spacing w:after="0" w:line="200" w:lineRule="exact"/>
        <w:rPr>
          <w:sz w:val="20"/>
          <w:szCs w:val="20"/>
          <w:color w:val="auto"/>
        </w:rPr>
      </w:pPr>
    </w:p>
    <w:p>
      <w:pPr>
        <w:spacing w:after="0" w:line="244"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8"/>
          <w:szCs w:val="18"/>
          <w:b w:val="1"/>
          <w:bCs w:val="1"/>
          <w:color w:val="auto"/>
        </w:rPr>
        <w:t>Honigman LLP • 650 Trade Centre Way • Suite 200 • Kalamazoo, Michigan 49002-0402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442595</wp:posOffset>
            </wp:positionV>
            <wp:extent cx="7133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of our report dated March 26, 2026, relating to the consolidated financial statements of MetaVia Inc. (the Company) appearing in the Company’s Annual Report on Form 10-K for the year ended December 31, 2025. Our report contains an explanatory paragraph regarding the Company’s ability to continue as a going concern.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33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 w:name="page8"/>
    <w:bookmarkEnd w:id="7"/>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MetaVia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480" w:type="dxa"/>
            <w:vAlign w:val="bottom"/>
            <w:shd w:val="clear" w:color="auto" w:fill="9ADAF6"/>
          </w:tcPr>
          <w:p>
            <w:pPr>
              <w:ind w:left="240"/>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4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20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200,000</w:t>
            </w:r>
          </w:p>
        </w:tc>
        <w:tc>
          <w:tcPr>
            <w:tcW w:w="20" w:type="dxa"/>
            <w:vAlign w:val="bottom"/>
          </w:tcPr>
          <w:p>
            <w:pPr>
              <w:spacing w:after="0"/>
              <w:rPr>
                <w:sz w:val="20"/>
                <w:szCs w:val="20"/>
                <w:color w:val="auto"/>
              </w:rPr>
            </w:pPr>
          </w:p>
        </w:tc>
        <w:tc>
          <w:tcPr>
            <w:tcW w:w="13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$ 2.84715</w:t>
            </w:r>
          </w:p>
        </w:tc>
        <w:tc>
          <w:tcPr>
            <w:tcW w:w="20" w:type="dxa"/>
            <w:vAlign w:val="bottom"/>
          </w:tcPr>
          <w:p>
            <w:pPr>
              <w:spacing w:after="0"/>
              <w:rPr>
                <w:sz w:val="20"/>
                <w:szCs w:val="20"/>
                <w:color w:val="auto"/>
              </w:rPr>
            </w:pPr>
          </w:p>
        </w:tc>
        <w:tc>
          <w:tcPr>
            <w:tcW w:w="1480" w:type="dxa"/>
            <w:vAlign w:val="bottom"/>
            <w:shd w:val="clear" w:color="auto" w:fill="E7E7E2"/>
          </w:tcPr>
          <w:p>
            <w:pPr>
              <w:ind w:left="200"/>
              <w:spacing w:after="0" w:line="240" w:lineRule="exact"/>
              <w:rPr>
                <w:sz w:val="20"/>
                <w:szCs w:val="20"/>
                <w:color w:val="auto"/>
              </w:rPr>
            </w:pPr>
            <w:r>
              <w:rPr>
                <w:rFonts w:ascii="Arial" w:cs="Arial" w:eastAsia="Arial" w:hAnsi="Arial"/>
                <w:sz w:val="21"/>
                <w:szCs w:val="21"/>
                <w:color w:val="auto"/>
              </w:rPr>
              <w:t>$ 569,430.00</w:t>
            </w:r>
          </w:p>
        </w:tc>
        <w:tc>
          <w:tcPr>
            <w:tcW w:w="20" w:type="dxa"/>
            <w:vAlign w:val="bottom"/>
          </w:tcPr>
          <w:p>
            <w:pPr>
              <w:spacing w:after="0"/>
              <w:rPr>
                <w:sz w:val="20"/>
                <w:szCs w:val="20"/>
                <w:color w:val="auto"/>
              </w:rPr>
            </w:pPr>
          </w:p>
        </w:tc>
        <w:tc>
          <w:tcPr>
            <w:tcW w:w="10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0.0001381</w:t>
            </w:r>
          </w:p>
        </w:tc>
        <w:tc>
          <w:tcPr>
            <w:tcW w:w="4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$ 78.64</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gridSpan w:val="2"/>
          </w:tcPr>
          <w:p>
            <w:pPr>
              <w:ind w:left="220"/>
              <w:spacing w:after="0"/>
              <w:rPr>
                <w:sz w:val="20"/>
                <w:szCs w:val="20"/>
                <w:color w:val="auto"/>
              </w:rPr>
            </w:pPr>
            <w:r>
              <w:rPr>
                <w:rFonts w:ascii="Arial" w:cs="Arial" w:eastAsia="Arial" w:hAnsi="Arial"/>
                <w:sz w:val="21"/>
                <w:szCs w:val="21"/>
                <w:color w:val="auto"/>
              </w:rPr>
              <w:t>$ 569,430.00</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$ 78.64</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$ 78.64</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60"/>
        <w:spacing w:after="0" w:line="246" w:lineRule="auto"/>
        <w:rPr>
          <w:sz w:val="20"/>
          <w:szCs w:val="20"/>
          <w:color w:val="auto"/>
        </w:rPr>
      </w:pPr>
      <w:r>
        <w:rPr>
          <w:rFonts w:ascii="Arial" w:cs="Arial" w:eastAsia="Arial" w:hAnsi="Arial"/>
          <w:sz w:val="21"/>
          <w:szCs w:val="21"/>
          <w:color w:val="auto"/>
        </w:rPr>
        <w:t>1a. Pursuant to Rule 416(a) promulgated under the Securities Act of 1933, as amended (the "Securities Act"), this Registration Statement on Form S-8 (the "Registration Statement") shall also cover any additional shares of common stock, par value $0.001 per share (the "Common Stock"), that become issuable under the plan set forth herein by reason of any stock dividend, stock split, recapitalization, or other similar transaction effected that results in an increase to the number of outstanding shares of MetaVia Inc. (the "Registrant") Common Stock.</w:t>
      </w:r>
    </w:p>
    <w:p>
      <w:pPr>
        <w:spacing w:after="0" w:line="198" w:lineRule="exact"/>
        <w:rPr>
          <w:sz w:val="20"/>
          <w:szCs w:val="20"/>
          <w:color w:val="auto"/>
        </w:rPr>
      </w:pPr>
    </w:p>
    <w:p>
      <w:pPr>
        <w:ind w:left="800" w:right="760"/>
        <w:spacing w:after="0" w:line="248" w:lineRule="auto"/>
        <w:rPr>
          <w:sz w:val="20"/>
          <w:szCs w:val="20"/>
          <w:color w:val="auto"/>
        </w:rPr>
      </w:pPr>
      <w:r>
        <w:rPr>
          <w:rFonts w:ascii="Arial" w:cs="Arial" w:eastAsia="Arial" w:hAnsi="Arial"/>
          <w:sz w:val="21"/>
          <w:szCs w:val="21"/>
          <w:color w:val="auto"/>
        </w:rPr>
        <w:t>1b. Represents additional shares of Common Stock to be registered and available for grant under the Registrant's Amended and Restated 2022 Equity Incentive Plan (the "2022 Incentive Plan"). These additional shares of Common Stock were reserved for issuance in connection with the amendment to the 2022 Incentive Plan, which was approved by stockholders on June 8, 2026 at the Company's 2026 Annual Meeting of Stockholders.</w:t>
      </w:r>
    </w:p>
    <w:p>
      <w:pPr>
        <w:spacing w:after="0" w:line="195" w:lineRule="exact"/>
        <w:rPr>
          <w:sz w:val="20"/>
          <w:szCs w:val="20"/>
          <w:color w:val="auto"/>
        </w:rPr>
      </w:pPr>
    </w:p>
    <w:p>
      <w:pPr>
        <w:ind w:left="800" w:right="800"/>
        <w:spacing w:after="0" w:line="252" w:lineRule="auto"/>
        <w:rPr>
          <w:sz w:val="20"/>
          <w:szCs w:val="20"/>
          <w:color w:val="auto"/>
        </w:rPr>
      </w:pPr>
      <w:r>
        <w:rPr>
          <w:rFonts w:ascii="Arial" w:cs="Arial" w:eastAsia="Arial" w:hAnsi="Arial"/>
          <w:sz w:val="21"/>
          <w:szCs w:val="21"/>
          <w:color w:val="auto"/>
        </w:rPr>
        <w:t>1c. Estimated pursuant to Rules 457(c) and 457(h) under the Securities Act, solely for the purposes of calculating the registration fee and based on the average of the high and low prices of the Registrant's Common Stock as reported on the Nasdaq Capital Market on June 1, 2026, which date is within five business days prior to the filing of this Registration Statement.</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1"/>
          <w:szCs w:val="21"/>
          <w:color w:val="auto"/>
        </w:rPr>
        <w:t>1d. 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257810</wp:posOffset>
            </wp:positionV>
            <wp:extent cx="63874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jpe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jpe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18" Type="http://schemas.openxmlformats.org/officeDocument/2006/relationships/hyperlink" Target="https://www.sec.gov/Archives/edgar/data/1638287/000155837023006069/tmb-20230417xs8.htm" TargetMode="External"/><Relationship Id="rId19" Type="http://schemas.openxmlformats.org/officeDocument/2006/relationships/hyperlink" Target="https://www.sec.gov/Archives/edgar/data/1638287/000110465925028825/tm259572d1_s8.htm" TargetMode="External"/><Relationship Id="rId20" Type="http://schemas.openxmlformats.org/officeDocument/2006/relationships/hyperlink" Target="https://www.sec.gov/Archives/edgar/data/1638287/000110465926039618/tm269393d2_s8.htm" TargetMode="External"/><Relationship Id="rId21" Type="http://schemas.openxmlformats.org/officeDocument/2006/relationships/hyperlink" Target="https://www.sec.gov/ix?doc=/Archives/edgar/data/1638287/000110465926034911/mtva-20251231x10k.htm" TargetMode="External"/><Relationship Id="rId22" Type="http://schemas.openxmlformats.org/officeDocument/2006/relationships/hyperlink" Target="https://www.sec.gov/Archives/edgar/data/1638287/000110465916128353/a15-18801_108a12b.htm" TargetMode="External"/><Relationship Id="rId24" Type="http://schemas.openxmlformats.org/officeDocument/2006/relationships/hyperlink" Target="https://www.sec.gov/Archives/edgar/data/1638287/000110465916138639/a16-16524_1ex3d1.htm" TargetMode="External"/><Relationship Id="rId25" Type="http://schemas.openxmlformats.org/officeDocument/2006/relationships/hyperlink" Target="https://www.sec.gov/Archives/edgar/data/1638287/000110465919076916/a19-28294_1ex3d1.htm" TargetMode="External"/><Relationship Id="rId26" Type="http://schemas.openxmlformats.org/officeDocument/2006/relationships/hyperlink" Target="https://www.sec.gov/Archives/edgar/data/1638287/000110465919076916/a19-28294_1ex3d2.htm" TargetMode="External"/><Relationship Id="rId27" Type="http://schemas.openxmlformats.org/officeDocument/2006/relationships/hyperlink" Target="https://www.sec.gov/Archives/edgar/data/1638287/000155837022014321/nrbo-20220912xex3d1.htm" TargetMode="External"/><Relationship Id="rId28" Type="http://schemas.openxmlformats.org/officeDocument/2006/relationships/hyperlink" Target="https://www.sec.gov/Archives/edgar/data/1638287/000155837023019894/nrbo-20231219xex3d1.htm" TargetMode="External"/><Relationship Id="rId29" Type="http://schemas.openxmlformats.org/officeDocument/2006/relationships/hyperlink" Target="https://www.sec.gov/Archives/edgar/data/1638287/000155837024015839/nrbo-20241115xex3d1.htm" TargetMode="External"/><Relationship Id="rId30" Type="http://schemas.openxmlformats.org/officeDocument/2006/relationships/hyperlink" Target="https://www.sec.gov/Archives/edgar/data/1638287/000110465925117540/mtva-20251202xex3d1.htm" TargetMode="External"/><Relationship Id="rId31" Type="http://schemas.openxmlformats.org/officeDocument/2006/relationships/hyperlink" Target="https://www.sec.gov/Archives/edgar/data/1638287/000155837024015839/nrbo-20241115xex3d2.htm" TargetMode="External"/><Relationship Id="rId32" Type="http://schemas.openxmlformats.org/officeDocument/2006/relationships/hyperlink" Target="https://www.sec.gov/Archives/edgar/data/1638287/000155837025003386/mtva-20241231xex10d7.htm" TargetMode="External"/><Relationship Id="rId33" Type="http://schemas.openxmlformats.org/officeDocument/2006/relationships/hyperlink" Target="https://www.sec.gov/Archives/edgar/data/1638287/000110465926071358/tm2615356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2026-06-08T15:32:13Z</dcterms:created>
  <dcterms:modified xsi:type="dcterms:W3CDTF">2026-06-08T15:32:13Z</dcterms:modified>
</cp:coreProperties>
</file>